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48C77" w14:textId="77777777" w:rsidR="00FD3406" w:rsidRPr="0000169A" w:rsidRDefault="00FD3406" w:rsidP="005E1430">
      <w:pPr>
        <w:pStyle w:val="Title"/>
        <w:rPr>
          <w:rStyle w:val="SubtleReference"/>
          <w:smallCaps w:val="0"/>
          <w:color w:val="auto"/>
          <w:lang w:val="en-GB"/>
        </w:rPr>
      </w:pPr>
    </w:p>
    <w:p w14:paraId="636D60ED" w14:textId="77777777" w:rsidR="00FD3406" w:rsidRPr="0000169A" w:rsidRDefault="00FD3406" w:rsidP="005E1430">
      <w:pPr>
        <w:pStyle w:val="Title"/>
        <w:rPr>
          <w:rStyle w:val="SubtleReference"/>
          <w:smallCaps w:val="0"/>
          <w:color w:val="auto"/>
          <w:lang w:val="en-GB"/>
        </w:rPr>
      </w:pPr>
    </w:p>
    <w:p w14:paraId="5EA76D54" w14:textId="67910021" w:rsidR="00A84338" w:rsidRPr="0000169A" w:rsidRDefault="008D18F1" w:rsidP="005E1430">
      <w:pPr>
        <w:pStyle w:val="Title"/>
        <w:jc w:val="center"/>
        <w:rPr>
          <w:rStyle w:val="SubtleReference"/>
          <w:smallCaps w:val="0"/>
          <w:color w:val="2F5496" w:themeColor="accent1" w:themeShade="BF"/>
          <w:lang w:val="en-GB"/>
        </w:rPr>
      </w:pPr>
      <w:bookmarkStart w:id="0" w:name="_Hlk77755729"/>
      <w:r w:rsidRPr="0000169A">
        <w:rPr>
          <w:rStyle w:val="SubtleReference"/>
          <w:smallCaps w:val="0"/>
          <w:color w:val="2F5496" w:themeColor="accent1" w:themeShade="BF"/>
          <w:lang w:val="en-GB"/>
        </w:rPr>
        <w:t xml:space="preserve">Assistive </w:t>
      </w:r>
      <w:r w:rsidR="003E3273" w:rsidRPr="0000169A">
        <w:rPr>
          <w:rStyle w:val="SubtleReference"/>
          <w:smallCaps w:val="0"/>
          <w:color w:val="2F5496" w:themeColor="accent1" w:themeShade="BF"/>
          <w:lang w:val="en-GB"/>
        </w:rPr>
        <w:t>Product</w:t>
      </w:r>
      <w:r w:rsidRPr="0000169A">
        <w:rPr>
          <w:rStyle w:val="SubtleReference"/>
          <w:smallCaps w:val="0"/>
          <w:color w:val="2F5496" w:themeColor="accent1" w:themeShade="BF"/>
          <w:lang w:val="en-GB"/>
        </w:rPr>
        <w:t xml:space="preserve"> Provision </w:t>
      </w:r>
    </w:p>
    <w:p w14:paraId="5775863E" w14:textId="2EEAC3EF" w:rsidR="00FD3406" w:rsidRPr="0000169A" w:rsidRDefault="005E1430" w:rsidP="005E1430">
      <w:pPr>
        <w:pStyle w:val="Title"/>
        <w:jc w:val="center"/>
        <w:rPr>
          <w:rStyle w:val="SubtleReference"/>
          <w:smallCaps w:val="0"/>
          <w:color w:val="2F5496" w:themeColor="accent1" w:themeShade="BF"/>
          <w:lang w:val="en-GB"/>
        </w:rPr>
      </w:pPr>
      <w:r w:rsidRPr="0000169A">
        <w:rPr>
          <w:rStyle w:val="SubtleReference"/>
          <w:smallCaps w:val="0"/>
          <w:color w:val="2F5496" w:themeColor="accent1" w:themeShade="BF"/>
          <w:lang w:val="en-GB"/>
        </w:rPr>
        <w:t>C</w:t>
      </w:r>
      <w:r w:rsidR="00FD3406" w:rsidRPr="0000169A">
        <w:rPr>
          <w:rStyle w:val="SubtleReference"/>
          <w:smallCaps w:val="0"/>
          <w:color w:val="2F5496" w:themeColor="accent1" w:themeShade="BF"/>
          <w:lang w:val="en-GB"/>
        </w:rPr>
        <w:t xml:space="preserve">osting </w:t>
      </w:r>
      <w:r w:rsidRPr="0000169A">
        <w:rPr>
          <w:rStyle w:val="SubtleReference"/>
          <w:smallCaps w:val="0"/>
          <w:color w:val="2F5496" w:themeColor="accent1" w:themeShade="BF"/>
          <w:lang w:val="en-GB"/>
        </w:rPr>
        <w:t>T</w:t>
      </w:r>
      <w:r w:rsidR="00FD3406" w:rsidRPr="0000169A">
        <w:rPr>
          <w:rStyle w:val="SubtleReference"/>
          <w:smallCaps w:val="0"/>
          <w:color w:val="2F5496" w:themeColor="accent1" w:themeShade="BF"/>
          <w:lang w:val="en-GB"/>
        </w:rPr>
        <w:t>ool</w:t>
      </w:r>
    </w:p>
    <w:p w14:paraId="7F6B6111" w14:textId="77777777" w:rsidR="00575AD7" w:rsidRPr="0000169A" w:rsidRDefault="00575AD7" w:rsidP="00575AD7">
      <w:pPr>
        <w:rPr>
          <w:lang w:val="en-GB"/>
        </w:rPr>
      </w:pPr>
    </w:p>
    <w:bookmarkEnd w:id="0"/>
    <w:p w14:paraId="0705EC15" w14:textId="39E4FD61" w:rsidR="00BC576F" w:rsidRPr="0000169A" w:rsidRDefault="005E1430" w:rsidP="005E1430">
      <w:pPr>
        <w:pStyle w:val="Title"/>
        <w:jc w:val="center"/>
        <w:rPr>
          <w:rStyle w:val="SubtleReference"/>
          <w:smallCaps w:val="0"/>
          <w:color w:val="2F5496" w:themeColor="accent1" w:themeShade="BF"/>
          <w:lang w:val="en-GB"/>
        </w:rPr>
      </w:pPr>
      <w:r w:rsidRPr="0000169A">
        <w:rPr>
          <w:rStyle w:val="SubtleReference"/>
          <w:smallCaps w:val="0"/>
          <w:color w:val="2F5496" w:themeColor="accent1" w:themeShade="BF"/>
          <w:lang w:val="en-GB"/>
        </w:rPr>
        <w:t>U</w:t>
      </w:r>
      <w:r w:rsidR="00FD3406" w:rsidRPr="0000169A">
        <w:rPr>
          <w:rStyle w:val="SubtleReference"/>
          <w:smallCaps w:val="0"/>
          <w:color w:val="2F5496" w:themeColor="accent1" w:themeShade="BF"/>
          <w:lang w:val="en-GB"/>
        </w:rPr>
        <w:t xml:space="preserve">ser </w:t>
      </w:r>
      <w:r w:rsidRPr="0000169A">
        <w:rPr>
          <w:rStyle w:val="SubtleReference"/>
          <w:smallCaps w:val="0"/>
          <w:color w:val="2F5496" w:themeColor="accent1" w:themeShade="BF"/>
          <w:lang w:val="en-GB"/>
        </w:rPr>
        <w:t>G</w:t>
      </w:r>
      <w:r w:rsidR="00FD3406" w:rsidRPr="0000169A">
        <w:rPr>
          <w:rStyle w:val="SubtleReference"/>
          <w:smallCaps w:val="0"/>
          <w:color w:val="2F5496" w:themeColor="accent1" w:themeShade="BF"/>
          <w:lang w:val="en-GB"/>
        </w:rPr>
        <w:t>uide</w:t>
      </w:r>
    </w:p>
    <w:p w14:paraId="76A60203" w14:textId="32CE11CE" w:rsidR="00FD3406" w:rsidRPr="0000169A" w:rsidRDefault="00FD3406" w:rsidP="00FD3406">
      <w:pPr>
        <w:jc w:val="center"/>
        <w:rPr>
          <w:lang w:val="en-GB"/>
        </w:rPr>
      </w:pPr>
    </w:p>
    <w:p w14:paraId="268DDAF6" w14:textId="2B15E204" w:rsidR="005122BF" w:rsidRPr="0000169A" w:rsidRDefault="005122BF" w:rsidP="00FD3406">
      <w:pPr>
        <w:jc w:val="center"/>
        <w:rPr>
          <w:lang w:val="en-GB"/>
        </w:rPr>
      </w:pPr>
    </w:p>
    <w:p w14:paraId="018C7458" w14:textId="045812FD" w:rsidR="005122BF" w:rsidRPr="0000169A" w:rsidRDefault="005122BF" w:rsidP="00FD3406">
      <w:pPr>
        <w:jc w:val="center"/>
        <w:rPr>
          <w:lang w:val="en-GB"/>
        </w:rPr>
      </w:pPr>
    </w:p>
    <w:p w14:paraId="41DD1E2C" w14:textId="5ADB4E0A" w:rsidR="005122BF" w:rsidRPr="0000169A" w:rsidRDefault="005122BF" w:rsidP="00916410">
      <w:pPr>
        <w:rPr>
          <w:lang w:val="en-GB"/>
        </w:rPr>
      </w:pPr>
    </w:p>
    <w:p w14:paraId="2A4DBE3C" w14:textId="0387CD28" w:rsidR="005122BF" w:rsidRPr="0000169A" w:rsidRDefault="005122BF" w:rsidP="00FD3406">
      <w:pPr>
        <w:jc w:val="center"/>
        <w:rPr>
          <w:lang w:val="en-GB"/>
        </w:rPr>
      </w:pPr>
    </w:p>
    <w:p w14:paraId="0BD62458" w14:textId="313CE8E9" w:rsidR="005122BF" w:rsidRPr="0000169A" w:rsidRDefault="005122BF" w:rsidP="00FD3406">
      <w:pPr>
        <w:jc w:val="center"/>
        <w:rPr>
          <w:lang w:val="en-GB"/>
        </w:rPr>
      </w:pPr>
    </w:p>
    <w:p w14:paraId="08BFFB2E" w14:textId="4813C098" w:rsidR="005122BF" w:rsidRPr="0000169A" w:rsidRDefault="005122BF" w:rsidP="00FD3406">
      <w:pPr>
        <w:jc w:val="center"/>
        <w:rPr>
          <w:lang w:val="en-GB"/>
        </w:rPr>
      </w:pPr>
    </w:p>
    <w:p w14:paraId="38D0597E" w14:textId="2C05FB2F" w:rsidR="005122BF" w:rsidRPr="0000169A" w:rsidRDefault="005122BF" w:rsidP="00FD3406">
      <w:pPr>
        <w:jc w:val="center"/>
        <w:rPr>
          <w:lang w:val="en-GB"/>
        </w:rPr>
      </w:pPr>
    </w:p>
    <w:p w14:paraId="7C820DB1" w14:textId="2454346A" w:rsidR="005122BF" w:rsidRPr="0000169A" w:rsidRDefault="005122BF" w:rsidP="00FD3406">
      <w:pPr>
        <w:jc w:val="center"/>
        <w:rPr>
          <w:lang w:val="en-GB"/>
        </w:rPr>
      </w:pPr>
    </w:p>
    <w:p w14:paraId="4D6B9CC0" w14:textId="34694E36" w:rsidR="005122BF" w:rsidRPr="0000169A" w:rsidRDefault="005122BF" w:rsidP="00FD3406">
      <w:pPr>
        <w:jc w:val="center"/>
        <w:rPr>
          <w:lang w:val="en-GB"/>
        </w:rPr>
      </w:pPr>
    </w:p>
    <w:p w14:paraId="46EA4D00" w14:textId="39BB9515" w:rsidR="005122BF" w:rsidRPr="0000169A" w:rsidRDefault="005122BF" w:rsidP="00FD3406">
      <w:pPr>
        <w:jc w:val="center"/>
        <w:rPr>
          <w:lang w:val="en-GB"/>
        </w:rPr>
      </w:pPr>
    </w:p>
    <w:p w14:paraId="742DA4A5" w14:textId="161237E5" w:rsidR="005122BF" w:rsidRPr="0000169A" w:rsidRDefault="005122BF" w:rsidP="00FD3406">
      <w:pPr>
        <w:jc w:val="center"/>
        <w:rPr>
          <w:lang w:val="en-GB"/>
        </w:rPr>
      </w:pPr>
    </w:p>
    <w:p w14:paraId="53F6F9AC" w14:textId="44D51F24" w:rsidR="005122BF" w:rsidRPr="0000169A" w:rsidRDefault="005122BF" w:rsidP="00FD3406">
      <w:pPr>
        <w:jc w:val="center"/>
        <w:rPr>
          <w:lang w:val="en-GB"/>
        </w:rPr>
      </w:pPr>
    </w:p>
    <w:p w14:paraId="3F1871E2" w14:textId="27D5C1B8" w:rsidR="005122BF" w:rsidRPr="0000169A" w:rsidRDefault="005122BF" w:rsidP="00FD3406">
      <w:pPr>
        <w:jc w:val="center"/>
        <w:rPr>
          <w:lang w:val="en-GB"/>
        </w:rPr>
      </w:pPr>
    </w:p>
    <w:p w14:paraId="4E7588C8" w14:textId="0E0D51CD" w:rsidR="005122BF" w:rsidRPr="0000169A" w:rsidRDefault="005122BF" w:rsidP="00FD3406">
      <w:pPr>
        <w:jc w:val="center"/>
        <w:rPr>
          <w:lang w:val="en-GB"/>
        </w:rPr>
      </w:pPr>
    </w:p>
    <w:p w14:paraId="3007E397" w14:textId="39B2E196" w:rsidR="005122BF" w:rsidRPr="0000169A" w:rsidRDefault="005122BF" w:rsidP="00FD3406">
      <w:pPr>
        <w:jc w:val="center"/>
        <w:rPr>
          <w:lang w:val="en-GB"/>
        </w:rPr>
      </w:pPr>
    </w:p>
    <w:p w14:paraId="1E850725" w14:textId="706FCD23" w:rsidR="005122BF" w:rsidRPr="0000169A" w:rsidRDefault="005122BF" w:rsidP="00FD3406">
      <w:pPr>
        <w:jc w:val="center"/>
        <w:rPr>
          <w:lang w:val="en-GB"/>
        </w:rPr>
      </w:pPr>
    </w:p>
    <w:p w14:paraId="0C1DA87C" w14:textId="68D55EC2" w:rsidR="005122BF" w:rsidRPr="0000169A" w:rsidRDefault="005122BF" w:rsidP="00FD3406">
      <w:pPr>
        <w:jc w:val="center"/>
        <w:rPr>
          <w:lang w:val="en-GB"/>
        </w:rPr>
      </w:pPr>
    </w:p>
    <w:p w14:paraId="5CA11DC7" w14:textId="2C004B50" w:rsidR="005122BF" w:rsidRPr="0000169A" w:rsidRDefault="005122BF" w:rsidP="00FD3406">
      <w:pPr>
        <w:jc w:val="center"/>
        <w:rPr>
          <w:lang w:val="en-GB"/>
        </w:rPr>
      </w:pPr>
    </w:p>
    <w:p w14:paraId="225604BF" w14:textId="5900CE34" w:rsidR="005122BF" w:rsidRPr="0000169A" w:rsidRDefault="005122BF" w:rsidP="00FD3406">
      <w:pPr>
        <w:jc w:val="center"/>
        <w:rPr>
          <w:lang w:val="en-GB"/>
        </w:rPr>
      </w:pPr>
    </w:p>
    <w:p w14:paraId="0EF39149" w14:textId="311962AE" w:rsidR="005122BF" w:rsidRPr="0000169A" w:rsidRDefault="005122BF" w:rsidP="005122BF">
      <w:pPr>
        <w:rPr>
          <w:lang w:val="en-GB"/>
        </w:rPr>
      </w:pPr>
    </w:p>
    <w:p w14:paraId="35EB79CA" w14:textId="25AC0649" w:rsidR="005122BF" w:rsidRPr="0000169A" w:rsidRDefault="005122BF" w:rsidP="00FD3406">
      <w:pPr>
        <w:jc w:val="center"/>
        <w:rPr>
          <w:lang w:val="en-GB"/>
        </w:rPr>
      </w:pPr>
    </w:p>
    <w:p w14:paraId="5DB466BD" w14:textId="21798AF1" w:rsidR="005E1430" w:rsidRPr="0000169A" w:rsidRDefault="005E1430" w:rsidP="00916410">
      <w:pPr>
        <w:pStyle w:val="Heading1"/>
        <w:numPr>
          <w:ilvl w:val="0"/>
          <w:numId w:val="45"/>
        </w:numPr>
        <w:spacing w:after="240"/>
        <w:rPr>
          <w:lang w:val="en-GB"/>
        </w:rPr>
      </w:pPr>
      <w:r w:rsidRPr="0000169A">
        <w:rPr>
          <w:lang w:val="en-GB"/>
        </w:rPr>
        <w:lastRenderedPageBreak/>
        <w:t xml:space="preserve">Introduction </w:t>
      </w:r>
    </w:p>
    <w:p w14:paraId="4912CDFB" w14:textId="7B6A3471" w:rsidR="00BB7CF0" w:rsidRDefault="005E1430" w:rsidP="00A84338">
      <w:pPr>
        <w:jc w:val="both"/>
        <w:rPr>
          <w:lang w:val="en-GB"/>
        </w:rPr>
      </w:pPr>
      <w:bookmarkStart w:id="1" w:name="_Hlk79691220"/>
      <w:r w:rsidRPr="0000169A">
        <w:rPr>
          <w:lang w:val="en-GB"/>
        </w:rPr>
        <w:t>The</w:t>
      </w:r>
      <w:bookmarkEnd w:id="1"/>
      <w:r w:rsidR="006F722D" w:rsidRPr="0000169A">
        <w:rPr>
          <w:lang w:val="en-GB"/>
        </w:rPr>
        <w:t xml:space="preserve"> Assistive Product Provision (APP) Costing Tool is designed to cost assistive product provision packages - </w:t>
      </w:r>
      <w:r w:rsidR="006F722D" w:rsidRPr="00393C31">
        <w:rPr>
          <w:lang w:val="en-GB"/>
        </w:rPr>
        <w:t xml:space="preserve">eyeglasses, hearing aids, wheelchairs, protheses - or model combined provision of these services (e.g., school health or primary health care) </w:t>
      </w:r>
      <w:r w:rsidR="006F722D" w:rsidRPr="0000169A">
        <w:rPr>
          <w:lang w:val="en-GB"/>
        </w:rPr>
        <w:t>and produce results to help plan future services and prepare investment cases.</w:t>
      </w:r>
      <w:r w:rsidR="006F722D" w:rsidRPr="00393C31">
        <w:rPr>
          <w:i/>
          <w:iCs/>
          <w:lang w:val="en-GB"/>
        </w:rPr>
        <w:t xml:space="preserve"> </w:t>
      </w:r>
      <w:r w:rsidR="006F722D" w:rsidRPr="00393C31">
        <w:rPr>
          <w:lang w:val="en-GB"/>
        </w:rPr>
        <w:t>The user-friendly</w:t>
      </w:r>
      <w:r w:rsidR="006F722D" w:rsidRPr="0000169A">
        <w:rPr>
          <w:lang w:val="en-GB"/>
        </w:rPr>
        <w:t xml:space="preserve"> an</w:t>
      </w:r>
      <w:r w:rsidR="00393C31">
        <w:rPr>
          <w:lang w:val="en-GB"/>
        </w:rPr>
        <w:t>d</w:t>
      </w:r>
      <w:r w:rsidR="006F722D" w:rsidRPr="0000169A">
        <w:rPr>
          <w:lang w:val="en-GB"/>
        </w:rPr>
        <w:t xml:space="preserve"> excel-based tool is designed to be used by health system managers and policy makers. It allows users to calculate the costs of all elements of AT provision packages, including start-up, training, and service delivery costs. The tool also has a financing element that can be used to show programme financing sources and gaps in current and future funding.</w:t>
      </w:r>
    </w:p>
    <w:p w14:paraId="7E125A91" w14:textId="5E3606FE" w:rsidR="00916410" w:rsidRPr="0000169A" w:rsidRDefault="00916410" w:rsidP="00916410">
      <w:pPr>
        <w:pStyle w:val="Heading1"/>
        <w:numPr>
          <w:ilvl w:val="0"/>
          <w:numId w:val="45"/>
        </w:numPr>
        <w:spacing w:after="240"/>
        <w:rPr>
          <w:lang w:val="en-GB"/>
        </w:rPr>
      </w:pPr>
      <w:r>
        <w:rPr>
          <w:lang w:val="en-GB"/>
        </w:rPr>
        <w:t>Contact</w:t>
      </w:r>
    </w:p>
    <w:p w14:paraId="07A6EF5A" w14:textId="784B59A9" w:rsidR="00916410" w:rsidRDefault="00916410" w:rsidP="00916410">
      <w:pPr>
        <w:jc w:val="both"/>
        <w:rPr>
          <w:lang w:val="en-GB"/>
        </w:rPr>
      </w:pPr>
      <w:r>
        <w:rPr>
          <w:lang w:val="en-GB"/>
        </w:rPr>
        <w:t>For questions about the use of this tool or to report, contact:</w:t>
      </w:r>
    </w:p>
    <w:p w14:paraId="6A2D747B" w14:textId="77777777" w:rsidR="00916410" w:rsidRDefault="00916410" w:rsidP="00916410">
      <w:pPr>
        <w:spacing w:after="0"/>
        <w:ind w:left="720"/>
        <w:jc w:val="both"/>
        <w:rPr>
          <w:lang w:val="en-GB"/>
        </w:rPr>
      </w:pPr>
      <w:r>
        <w:rPr>
          <w:lang w:val="en-GB"/>
        </w:rPr>
        <w:t>Tucker Bbosa</w:t>
      </w:r>
    </w:p>
    <w:p w14:paraId="7F7C3FB0" w14:textId="5C4EBBC1" w:rsidR="00916410" w:rsidRDefault="00916410" w:rsidP="00916410">
      <w:pPr>
        <w:ind w:left="720"/>
        <w:jc w:val="both"/>
        <w:rPr>
          <w:lang w:val="en-GB"/>
        </w:rPr>
      </w:pPr>
      <w:hyperlink r:id="rId8" w:history="1">
        <w:r w:rsidRPr="004327CA">
          <w:rPr>
            <w:rStyle w:val="Hyperlink"/>
            <w:lang w:val="en-GB"/>
          </w:rPr>
          <w:t>tbbosa@clintonhealthaccess.org</w:t>
        </w:r>
      </w:hyperlink>
      <w:r>
        <w:rPr>
          <w:lang w:val="en-GB"/>
        </w:rPr>
        <w:t xml:space="preserve"> </w:t>
      </w:r>
    </w:p>
    <w:p w14:paraId="28CF7978" w14:textId="69120728" w:rsidR="00DE367A" w:rsidRPr="0000169A" w:rsidRDefault="00DE367A" w:rsidP="00916410">
      <w:pPr>
        <w:pStyle w:val="Heading1"/>
        <w:numPr>
          <w:ilvl w:val="0"/>
          <w:numId w:val="45"/>
        </w:numPr>
        <w:spacing w:after="120"/>
        <w:rPr>
          <w:lang w:val="en-GB"/>
        </w:rPr>
      </w:pPr>
      <w:r w:rsidRPr="0000169A">
        <w:rPr>
          <w:lang w:val="en-GB"/>
        </w:rPr>
        <w:t xml:space="preserve">Overview of the costing tool </w:t>
      </w:r>
    </w:p>
    <w:p w14:paraId="1E4B7DF0" w14:textId="29C11079" w:rsidR="00DE367A" w:rsidRPr="0000169A" w:rsidRDefault="0030736E" w:rsidP="00145F43">
      <w:pPr>
        <w:spacing w:after="120"/>
        <w:jc w:val="both"/>
        <w:rPr>
          <w:rFonts w:cs="TT267t00"/>
          <w:lang w:val="en-GB"/>
        </w:rPr>
      </w:pPr>
      <w:r w:rsidRPr="0000169A">
        <w:rPr>
          <w:rFonts w:cs="TT267t00"/>
          <w:lang w:val="en-GB"/>
        </w:rPr>
        <w:t xml:space="preserve">The </w:t>
      </w:r>
      <w:r w:rsidR="00BB7CF0" w:rsidRPr="0000169A">
        <w:rPr>
          <w:rFonts w:cs="TT267t00"/>
          <w:i/>
          <w:iCs/>
          <w:lang w:val="en-GB"/>
        </w:rPr>
        <w:t xml:space="preserve">APP tool </w:t>
      </w:r>
      <w:r w:rsidR="00DE367A" w:rsidRPr="0000169A">
        <w:rPr>
          <w:rFonts w:cs="TT267t00"/>
          <w:lang w:val="en-GB"/>
        </w:rPr>
        <w:t xml:space="preserve">is organized around </w:t>
      </w:r>
      <w:r w:rsidR="00DF17FD" w:rsidRPr="0000169A">
        <w:rPr>
          <w:rFonts w:cs="TT267t00"/>
          <w:lang w:val="en-GB"/>
        </w:rPr>
        <w:t>five</w:t>
      </w:r>
      <w:r w:rsidRPr="0000169A">
        <w:rPr>
          <w:rFonts w:cs="TT267t00"/>
          <w:lang w:val="en-GB"/>
        </w:rPr>
        <w:t xml:space="preserve"> </w:t>
      </w:r>
      <w:r w:rsidR="00DE367A" w:rsidRPr="0000169A">
        <w:rPr>
          <w:rFonts w:cs="TT267t00"/>
          <w:lang w:val="en-GB"/>
        </w:rPr>
        <w:t>sections:</w:t>
      </w:r>
    </w:p>
    <w:p w14:paraId="4A6AA258" w14:textId="39B5C03F" w:rsidR="008D4815" w:rsidRPr="0000169A" w:rsidRDefault="00FA6249" w:rsidP="008D4815">
      <w:pPr>
        <w:pStyle w:val="ListParagraph"/>
        <w:numPr>
          <w:ilvl w:val="0"/>
          <w:numId w:val="4"/>
        </w:numPr>
        <w:spacing w:after="0"/>
        <w:contextualSpacing w:val="0"/>
        <w:jc w:val="both"/>
        <w:rPr>
          <w:rFonts w:cs="TT267t00"/>
          <w:lang w:val="en-GB"/>
        </w:rPr>
      </w:pPr>
      <w:r w:rsidRPr="0000169A">
        <w:rPr>
          <w:rFonts w:cs="TT267t00"/>
          <w:b/>
          <w:bCs/>
          <w:lang w:val="en-GB"/>
        </w:rPr>
        <w:t>Inputs</w:t>
      </w:r>
      <w:r w:rsidR="00DE367A" w:rsidRPr="0000169A">
        <w:rPr>
          <w:rFonts w:cs="TT267t00"/>
          <w:lang w:val="en-GB"/>
        </w:rPr>
        <w:t xml:space="preserve">: </w:t>
      </w:r>
      <w:r w:rsidR="00A23A8A" w:rsidRPr="0000169A">
        <w:rPr>
          <w:rFonts w:cs="TT267t00"/>
          <w:lang w:val="en-GB"/>
        </w:rPr>
        <w:t>contains two working sheets</w:t>
      </w:r>
      <w:r w:rsidR="005B69DC" w:rsidRPr="0000169A">
        <w:rPr>
          <w:rFonts w:cs="TT267t00"/>
          <w:lang w:val="en-GB"/>
        </w:rPr>
        <w:t>.</w:t>
      </w:r>
    </w:p>
    <w:p w14:paraId="2F39934F" w14:textId="191EB74C" w:rsidR="00FA6249" w:rsidRPr="0000169A" w:rsidRDefault="00CD4FE2" w:rsidP="008D4815">
      <w:pPr>
        <w:pStyle w:val="ListParagraph"/>
        <w:numPr>
          <w:ilvl w:val="1"/>
          <w:numId w:val="4"/>
        </w:numPr>
        <w:spacing w:after="0"/>
        <w:ind w:left="1077" w:hanging="357"/>
        <w:contextualSpacing w:val="0"/>
        <w:jc w:val="both"/>
        <w:rPr>
          <w:rFonts w:cs="TT267t00"/>
          <w:lang w:val="en-GB"/>
        </w:rPr>
      </w:pPr>
      <w:r w:rsidRPr="0000169A">
        <w:rPr>
          <w:rFonts w:cs="TT267t00"/>
          <w:i/>
          <w:iCs/>
          <w:lang w:val="en-GB"/>
        </w:rPr>
        <w:t>Parameters:</w:t>
      </w:r>
      <w:r w:rsidR="003E3273" w:rsidRPr="0000169A">
        <w:rPr>
          <w:rFonts w:cs="TT267t00"/>
          <w:i/>
          <w:iCs/>
          <w:lang w:val="en-GB"/>
        </w:rPr>
        <w:t xml:space="preserve"> </w:t>
      </w:r>
      <w:r w:rsidR="000E3BD1" w:rsidRPr="0000169A">
        <w:rPr>
          <w:rFonts w:cs="TT267t00"/>
          <w:lang w:val="en-GB"/>
        </w:rPr>
        <w:t>Input country</w:t>
      </w:r>
      <w:r w:rsidR="00A23A8A" w:rsidRPr="0000169A">
        <w:rPr>
          <w:rFonts w:cs="TT267t00"/>
          <w:lang w:val="en-GB"/>
        </w:rPr>
        <w:t xml:space="preserve"> and general program information.</w:t>
      </w:r>
    </w:p>
    <w:p w14:paraId="7010D0BC" w14:textId="2AF3DC01" w:rsidR="00CD4FE2" w:rsidRPr="0000169A" w:rsidRDefault="00CD4FE2" w:rsidP="008D4815">
      <w:pPr>
        <w:pStyle w:val="ListParagraph"/>
        <w:numPr>
          <w:ilvl w:val="1"/>
          <w:numId w:val="4"/>
        </w:numPr>
        <w:spacing w:after="120"/>
        <w:ind w:left="1077" w:hanging="357"/>
        <w:contextualSpacing w:val="0"/>
        <w:jc w:val="both"/>
        <w:rPr>
          <w:rFonts w:cs="TT267t00"/>
          <w:lang w:val="en-GB"/>
        </w:rPr>
      </w:pPr>
      <w:r w:rsidRPr="0000169A">
        <w:rPr>
          <w:rFonts w:cs="TT267t00"/>
          <w:i/>
          <w:iCs/>
          <w:lang w:val="en-GB"/>
        </w:rPr>
        <w:t xml:space="preserve">Scale-up: </w:t>
      </w:r>
      <w:r w:rsidRPr="0000169A">
        <w:rPr>
          <w:rFonts w:cs="TT267t00"/>
          <w:lang w:val="en-GB"/>
        </w:rPr>
        <w:t>If the assistive product provision program will be scaled up, use this worksheet</w:t>
      </w:r>
      <w:r w:rsidR="00203308" w:rsidRPr="0000169A">
        <w:rPr>
          <w:rFonts w:cs="TT267t00"/>
          <w:lang w:val="en-GB"/>
        </w:rPr>
        <w:t xml:space="preserve"> </w:t>
      </w:r>
      <w:r w:rsidRPr="0000169A">
        <w:rPr>
          <w:rFonts w:cs="TT267t00"/>
          <w:lang w:val="en-GB"/>
        </w:rPr>
        <w:t>to input the assumptions for the scale-up.</w:t>
      </w:r>
    </w:p>
    <w:p w14:paraId="50A5D425" w14:textId="1C3290A2" w:rsidR="00EB2F5A" w:rsidRPr="0000169A" w:rsidRDefault="00CD4FE2" w:rsidP="00145F43">
      <w:pPr>
        <w:pStyle w:val="ListParagraph"/>
        <w:numPr>
          <w:ilvl w:val="0"/>
          <w:numId w:val="4"/>
        </w:numPr>
        <w:spacing w:after="120"/>
        <w:jc w:val="both"/>
        <w:rPr>
          <w:rFonts w:cs="TT267t00"/>
          <w:lang w:val="en-GB"/>
        </w:rPr>
      </w:pPr>
      <w:r w:rsidRPr="0000169A">
        <w:rPr>
          <w:rFonts w:cs="TT267t00"/>
          <w:b/>
          <w:bCs/>
          <w:lang w:val="en-GB"/>
        </w:rPr>
        <w:t>Package of Services</w:t>
      </w:r>
      <w:r w:rsidR="00EB2F5A" w:rsidRPr="0000169A">
        <w:rPr>
          <w:rFonts w:cs="TT267t00"/>
          <w:lang w:val="en-GB"/>
        </w:rPr>
        <w:t xml:space="preserve"> </w:t>
      </w:r>
      <w:r w:rsidR="00BD5CA7" w:rsidRPr="0000169A">
        <w:rPr>
          <w:rFonts w:cs="TT267t00"/>
          <w:lang w:val="en-GB"/>
        </w:rPr>
        <w:t>(</w:t>
      </w:r>
      <w:r w:rsidRPr="0000169A">
        <w:rPr>
          <w:rFonts w:cs="TT267t00"/>
          <w:lang w:val="en-GB"/>
        </w:rPr>
        <w:t>SERVICES</w:t>
      </w:r>
      <w:r w:rsidR="00BD5CA7" w:rsidRPr="0000169A">
        <w:rPr>
          <w:rFonts w:cs="TT267t00"/>
          <w:lang w:val="en-GB"/>
        </w:rPr>
        <w:t>)</w:t>
      </w:r>
      <w:r w:rsidR="00EB2F5A" w:rsidRPr="0000169A">
        <w:rPr>
          <w:rFonts w:cs="TT267t00"/>
          <w:lang w:val="en-GB"/>
        </w:rPr>
        <w:t>: contains</w:t>
      </w:r>
      <w:r w:rsidR="002B1CF9" w:rsidRPr="0000169A">
        <w:rPr>
          <w:rFonts w:cs="TT267t00"/>
          <w:lang w:val="en-GB"/>
        </w:rPr>
        <w:t xml:space="preserve"> three</w:t>
      </w:r>
      <w:r w:rsidR="00EB2F5A" w:rsidRPr="0000169A">
        <w:rPr>
          <w:rFonts w:cs="TT267t00"/>
          <w:lang w:val="en-GB"/>
        </w:rPr>
        <w:t xml:space="preserve"> working sheets.</w:t>
      </w:r>
    </w:p>
    <w:p w14:paraId="65E96BDD" w14:textId="70F041E0" w:rsidR="002B1CF9" w:rsidRPr="0000169A" w:rsidRDefault="00CD4FE2" w:rsidP="00145F43">
      <w:pPr>
        <w:pStyle w:val="ListParagraph"/>
        <w:numPr>
          <w:ilvl w:val="0"/>
          <w:numId w:val="5"/>
        </w:numPr>
        <w:spacing w:after="120"/>
        <w:jc w:val="both"/>
        <w:rPr>
          <w:rFonts w:cs="TT267t00"/>
          <w:lang w:val="en-GB"/>
        </w:rPr>
      </w:pPr>
      <w:proofErr w:type="spellStart"/>
      <w:r w:rsidRPr="0000169A">
        <w:rPr>
          <w:rFonts w:cs="TT267t00"/>
          <w:i/>
          <w:iCs/>
          <w:lang w:val="en-GB"/>
        </w:rPr>
        <w:t>Package_Services</w:t>
      </w:r>
      <w:proofErr w:type="spellEnd"/>
      <w:r w:rsidR="002B1CF9" w:rsidRPr="0000169A">
        <w:rPr>
          <w:rFonts w:cs="TT267t00"/>
          <w:lang w:val="en-GB"/>
        </w:rPr>
        <w:t xml:space="preserve">: </w:t>
      </w:r>
      <w:r w:rsidR="008D4815" w:rsidRPr="0000169A">
        <w:rPr>
          <w:rFonts w:cs="TT267t00"/>
          <w:lang w:val="en-GB"/>
        </w:rPr>
        <w:t>List all services, interventions, target population, and incidence rates</w:t>
      </w:r>
    </w:p>
    <w:p w14:paraId="01A9C646" w14:textId="2F27A25E" w:rsidR="002B1CF9" w:rsidRPr="0000169A" w:rsidRDefault="002B1CF9" w:rsidP="00145F43">
      <w:pPr>
        <w:pStyle w:val="ListParagraph"/>
        <w:numPr>
          <w:ilvl w:val="0"/>
          <w:numId w:val="5"/>
        </w:numPr>
        <w:spacing w:after="120"/>
        <w:jc w:val="both"/>
        <w:rPr>
          <w:rFonts w:cs="TT267t00"/>
          <w:lang w:val="en-GB"/>
        </w:rPr>
      </w:pPr>
      <w:r w:rsidRPr="0000169A">
        <w:rPr>
          <w:rFonts w:cs="TT267t00"/>
          <w:i/>
          <w:iCs/>
          <w:lang w:val="en-GB"/>
        </w:rPr>
        <w:t>Co</w:t>
      </w:r>
      <w:r w:rsidR="00CD4FE2" w:rsidRPr="0000169A">
        <w:rPr>
          <w:rFonts w:cs="TT267t00"/>
          <w:i/>
          <w:iCs/>
          <w:lang w:val="en-GB"/>
        </w:rPr>
        <w:t>verage</w:t>
      </w:r>
      <w:r w:rsidRPr="0000169A">
        <w:rPr>
          <w:rFonts w:cs="TT267t00"/>
          <w:lang w:val="en-GB"/>
        </w:rPr>
        <w:t xml:space="preserve">: </w:t>
      </w:r>
      <w:r w:rsidR="008D4815" w:rsidRPr="0000169A">
        <w:rPr>
          <w:rFonts w:cs="TT267t00"/>
          <w:lang w:val="en-GB"/>
        </w:rPr>
        <w:t>List</w:t>
      </w:r>
      <w:r w:rsidR="005A08EF" w:rsidRPr="0000169A">
        <w:rPr>
          <w:rFonts w:cs="TT267t00"/>
          <w:lang w:val="en-GB"/>
        </w:rPr>
        <w:t>s</w:t>
      </w:r>
      <w:r w:rsidR="008D4815" w:rsidRPr="0000169A">
        <w:rPr>
          <w:rFonts w:cs="TT267t00"/>
          <w:lang w:val="en-GB"/>
        </w:rPr>
        <w:t xml:space="preserve"> current utilization and coverage target assumptions for each service</w:t>
      </w:r>
    </w:p>
    <w:p w14:paraId="7E540F76" w14:textId="71F56F58" w:rsidR="002B1CF9" w:rsidRPr="0000169A" w:rsidRDefault="00CD4FE2" w:rsidP="00145F43">
      <w:pPr>
        <w:pStyle w:val="ListParagraph"/>
        <w:numPr>
          <w:ilvl w:val="0"/>
          <w:numId w:val="5"/>
        </w:numPr>
        <w:spacing w:after="120"/>
        <w:contextualSpacing w:val="0"/>
        <w:jc w:val="both"/>
        <w:rPr>
          <w:rFonts w:cs="TT267t00"/>
          <w:lang w:val="en-GB"/>
        </w:rPr>
      </w:pPr>
      <w:proofErr w:type="spellStart"/>
      <w:r w:rsidRPr="0000169A">
        <w:rPr>
          <w:rFonts w:cs="TT267t00"/>
          <w:i/>
          <w:iCs/>
          <w:lang w:val="en-GB"/>
        </w:rPr>
        <w:t>Treatment_Guidelines</w:t>
      </w:r>
      <w:proofErr w:type="spellEnd"/>
      <w:r w:rsidR="002B1CF9" w:rsidRPr="0000169A">
        <w:rPr>
          <w:rFonts w:cs="TT267t00"/>
          <w:lang w:val="en-GB"/>
        </w:rPr>
        <w:t xml:space="preserve">: </w:t>
      </w:r>
      <w:r w:rsidR="005A08EF" w:rsidRPr="0000169A">
        <w:rPr>
          <w:rFonts w:cs="TT267t00"/>
          <w:lang w:val="en-GB"/>
        </w:rPr>
        <w:t>Details normative Standard Treatment Guidelines (STGs) for each service in the package</w:t>
      </w:r>
    </w:p>
    <w:p w14:paraId="316BC7B4" w14:textId="7F1DD754" w:rsidR="00EB2F5A" w:rsidRPr="0000169A" w:rsidRDefault="00203308" w:rsidP="00145F43">
      <w:pPr>
        <w:pStyle w:val="ListParagraph"/>
        <w:numPr>
          <w:ilvl w:val="0"/>
          <w:numId w:val="4"/>
        </w:numPr>
        <w:spacing w:before="120" w:after="0"/>
        <w:contextualSpacing w:val="0"/>
        <w:jc w:val="both"/>
        <w:rPr>
          <w:rFonts w:cs="TT267t00"/>
          <w:lang w:val="en-GB"/>
        </w:rPr>
      </w:pPr>
      <w:r w:rsidRPr="0000169A">
        <w:rPr>
          <w:rFonts w:cs="TT267t00"/>
          <w:b/>
          <w:bCs/>
          <w:lang w:val="en-GB"/>
        </w:rPr>
        <w:t>Cost Categories</w:t>
      </w:r>
      <w:r w:rsidR="00DE367A" w:rsidRPr="0000169A">
        <w:rPr>
          <w:rFonts w:cs="TT267t00"/>
          <w:lang w:val="en-GB"/>
        </w:rPr>
        <w:t>: contains</w:t>
      </w:r>
      <w:r w:rsidRPr="0000169A">
        <w:rPr>
          <w:rFonts w:cs="TT267t00"/>
          <w:lang w:val="en-GB"/>
        </w:rPr>
        <w:t xml:space="preserve"> seven </w:t>
      </w:r>
      <w:r w:rsidR="00175EA7" w:rsidRPr="0000169A">
        <w:rPr>
          <w:rFonts w:cs="TT267t00"/>
          <w:lang w:val="en-GB"/>
        </w:rPr>
        <w:t xml:space="preserve">working sheets </w:t>
      </w:r>
      <w:r w:rsidRPr="0000169A">
        <w:rPr>
          <w:rFonts w:cs="TT267t00"/>
          <w:lang w:val="en-GB"/>
        </w:rPr>
        <w:t>detailing input</w:t>
      </w:r>
      <w:r w:rsidR="00596B3E" w:rsidRPr="0000169A">
        <w:rPr>
          <w:rFonts w:cs="TT267t00"/>
          <w:lang w:val="en-GB"/>
        </w:rPr>
        <w:t xml:space="preserve"> </w:t>
      </w:r>
      <w:r w:rsidRPr="0000169A">
        <w:rPr>
          <w:rFonts w:cs="TT267t00"/>
          <w:lang w:val="en-GB"/>
        </w:rPr>
        <w:t>cost</w:t>
      </w:r>
      <w:r w:rsidR="00596B3E" w:rsidRPr="0000169A">
        <w:rPr>
          <w:rFonts w:cs="TT267t00"/>
          <w:lang w:val="en-GB"/>
        </w:rPr>
        <w:t xml:space="preserve">s </w:t>
      </w:r>
      <w:r w:rsidRPr="0000169A">
        <w:rPr>
          <w:rFonts w:cs="TT267t00"/>
          <w:lang w:val="en-GB"/>
        </w:rPr>
        <w:t>for</w:t>
      </w:r>
      <w:r w:rsidR="00596B3E" w:rsidRPr="0000169A">
        <w:rPr>
          <w:rFonts w:cs="TT267t00"/>
          <w:lang w:val="en-GB"/>
        </w:rPr>
        <w:t xml:space="preserve"> variable and fixed resources</w:t>
      </w:r>
      <w:r w:rsidR="00DE367A" w:rsidRPr="0000169A">
        <w:rPr>
          <w:rFonts w:cs="TT267t00"/>
          <w:lang w:val="en-GB"/>
        </w:rPr>
        <w:t>.</w:t>
      </w:r>
    </w:p>
    <w:p w14:paraId="53000852" w14:textId="24FFCA50" w:rsidR="002B1CF9" w:rsidRPr="0000169A" w:rsidRDefault="002B1CF9" w:rsidP="00145F43">
      <w:pPr>
        <w:pStyle w:val="ListParagraph"/>
        <w:numPr>
          <w:ilvl w:val="0"/>
          <w:numId w:val="6"/>
        </w:numPr>
        <w:spacing w:after="120"/>
        <w:jc w:val="both"/>
        <w:rPr>
          <w:rFonts w:cs="TT267t00"/>
          <w:lang w:val="en-GB"/>
        </w:rPr>
      </w:pPr>
      <w:proofErr w:type="spellStart"/>
      <w:r w:rsidRPr="0000169A">
        <w:rPr>
          <w:rFonts w:cs="TT267t00"/>
          <w:i/>
          <w:iCs/>
          <w:lang w:val="en-GB"/>
        </w:rPr>
        <w:t>S</w:t>
      </w:r>
      <w:r w:rsidR="00596B3E" w:rsidRPr="0000169A">
        <w:rPr>
          <w:rFonts w:cs="TT267t00"/>
          <w:i/>
          <w:iCs/>
          <w:lang w:val="en-GB"/>
        </w:rPr>
        <w:t>taff_Costs</w:t>
      </w:r>
      <w:proofErr w:type="spellEnd"/>
      <w:r w:rsidRPr="0000169A">
        <w:rPr>
          <w:rFonts w:cs="TT267t00"/>
          <w:lang w:val="en-GB"/>
        </w:rPr>
        <w:t>: Consolidated budget calculation for the foreca</w:t>
      </w:r>
      <w:r w:rsidR="00B1058E" w:rsidRPr="0000169A">
        <w:rPr>
          <w:rFonts w:cs="TT267t00"/>
          <w:lang w:val="en-GB"/>
        </w:rPr>
        <w:t>s</w:t>
      </w:r>
      <w:r w:rsidRPr="0000169A">
        <w:rPr>
          <w:rFonts w:cs="TT267t00"/>
          <w:lang w:val="en-GB"/>
        </w:rPr>
        <w:t>ted years</w:t>
      </w:r>
      <w:r w:rsidR="00606467" w:rsidRPr="0000169A">
        <w:rPr>
          <w:rFonts w:cs="TT267t00"/>
          <w:lang w:val="en-GB"/>
        </w:rPr>
        <w:t>.</w:t>
      </w:r>
    </w:p>
    <w:p w14:paraId="279BA60E" w14:textId="70D0380F" w:rsidR="002B1CF9" w:rsidRPr="0000169A" w:rsidRDefault="00596B3E" w:rsidP="00145F43">
      <w:pPr>
        <w:pStyle w:val="ListParagraph"/>
        <w:numPr>
          <w:ilvl w:val="0"/>
          <w:numId w:val="6"/>
        </w:numPr>
        <w:spacing w:after="120"/>
        <w:jc w:val="both"/>
        <w:rPr>
          <w:rFonts w:cs="TT267t00"/>
          <w:i/>
          <w:iCs/>
          <w:lang w:val="en-GB"/>
        </w:rPr>
      </w:pPr>
      <w:r w:rsidRPr="0000169A">
        <w:rPr>
          <w:rFonts w:cs="TT267t00"/>
          <w:i/>
          <w:iCs/>
          <w:lang w:val="en-GB"/>
        </w:rPr>
        <w:t>Training</w:t>
      </w:r>
      <w:r w:rsidR="002B1CF9" w:rsidRPr="0000169A">
        <w:rPr>
          <w:rFonts w:cs="TT267t00"/>
          <w:lang w:val="en-GB"/>
        </w:rPr>
        <w:t>:</w:t>
      </w:r>
      <w:r w:rsidR="00A23A8A" w:rsidRPr="0000169A">
        <w:rPr>
          <w:rFonts w:cs="TT267t00"/>
          <w:lang w:val="en-GB"/>
        </w:rPr>
        <w:t xml:space="preserve"> </w:t>
      </w:r>
      <w:r w:rsidR="00E44CED" w:rsidRPr="0000169A">
        <w:rPr>
          <w:rFonts w:cs="TT267t00"/>
          <w:lang w:val="en-GB"/>
        </w:rPr>
        <w:t>List</w:t>
      </w:r>
      <w:r w:rsidR="00424B73" w:rsidRPr="0000169A">
        <w:rPr>
          <w:rFonts w:cs="TT267t00"/>
          <w:lang w:val="en-GB"/>
        </w:rPr>
        <w:t>s</w:t>
      </w:r>
      <w:r w:rsidR="00E44CED" w:rsidRPr="0000169A">
        <w:rPr>
          <w:rFonts w:cs="TT267t00"/>
          <w:lang w:val="en-GB"/>
        </w:rPr>
        <w:t xml:space="preserve"> all types of training provided</w:t>
      </w:r>
      <w:r w:rsidR="00A23A8A" w:rsidRPr="0000169A">
        <w:rPr>
          <w:rFonts w:cs="TT267t00"/>
          <w:lang w:val="en-GB"/>
        </w:rPr>
        <w:t xml:space="preserve"> </w:t>
      </w:r>
      <w:r w:rsidR="00E44CED" w:rsidRPr="0000169A">
        <w:rPr>
          <w:rFonts w:cs="TT267t00"/>
          <w:lang w:val="en-GB"/>
        </w:rPr>
        <w:t xml:space="preserve">to Health Care Workers (HCW)s e.g., </w:t>
      </w:r>
      <w:r w:rsidR="00D66F66" w:rsidRPr="0000169A">
        <w:rPr>
          <w:rFonts w:cs="TT267t00"/>
          <w:lang w:val="en-GB"/>
        </w:rPr>
        <w:t>in-service training</w:t>
      </w:r>
      <w:r w:rsidR="00A23A8A" w:rsidRPr="0000169A">
        <w:rPr>
          <w:rFonts w:cs="TT267t00"/>
          <w:lang w:val="en-GB"/>
        </w:rPr>
        <w:t xml:space="preserve"> and Training of Trainers (TOT)s</w:t>
      </w:r>
      <w:r w:rsidR="00D3087C" w:rsidRPr="0000169A">
        <w:rPr>
          <w:rFonts w:cs="TT267t00"/>
          <w:lang w:val="en-GB"/>
        </w:rPr>
        <w:t>.</w:t>
      </w:r>
    </w:p>
    <w:p w14:paraId="6B6CB1BD" w14:textId="7F039028" w:rsidR="002B1CF9" w:rsidRPr="0000169A" w:rsidRDefault="00596B3E" w:rsidP="00596B3E">
      <w:pPr>
        <w:pStyle w:val="ListParagraph"/>
        <w:numPr>
          <w:ilvl w:val="0"/>
          <w:numId w:val="6"/>
        </w:numPr>
        <w:spacing w:after="0"/>
        <w:contextualSpacing w:val="0"/>
        <w:jc w:val="both"/>
        <w:rPr>
          <w:rFonts w:cs="TT267t00"/>
          <w:lang w:val="en-GB"/>
        </w:rPr>
      </w:pPr>
      <w:r w:rsidRPr="0000169A">
        <w:rPr>
          <w:rFonts w:cs="TT267t00"/>
          <w:i/>
          <w:iCs/>
          <w:lang w:val="en-GB"/>
        </w:rPr>
        <w:t>Equipment</w:t>
      </w:r>
      <w:r w:rsidR="00B1058E" w:rsidRPr="0000169A">
        <w:rPr>
          <w:lang w:val="en-GB"/>
        </w:rPr>
        <w:t xml:space="preserve">: </w:t>
      </w:r>
      <w:r w:rsidR="00E44CED" w:rsidRPr="0000169A">
        <w:rPr>
          <w:lang w:val="en-GB"/>
        </w:rPr>
        <w:t>List</w:t>
      </w:r>
      <w:r w:rsidR="00424B73" w:rsidRPr="0000169A">
        <w:rPr>
          <w:lang w:val="en-GB"/>
        </w:rPr>
        <w:t>s</w:t>
      </w:r>
      <w:r w:rsidR="00E44CED" w:rsidRPr="0000169A">
        <w:rPr>
          <w:lang w:val="en-GB"/>
        </w:rPr>
        <w:t xml:space="preserve"> all </w:t>
      </w:r>
      <w:r w:rsidR="00A23A8A" w:rsidRPr="0000169A">
        <w:rPr>
          <w:lang w:val="en-GB"/>
        </w:rPr>
        <w:t xml:space="preserve">equipment </w:t>
      </w:r>
      <w:r w:rsidR="008D4815" w:rsidRPr="0000169A">
        <w:rPr>
          <w:lang w:val="en-GB"/>
        </w:rPr>
        <w:t xml:space="preserve">used by HCWs in service provision </w:t>
      </w:r>
      <w:r w:rsidR="00E44CED" w:rsidRPr="0000169A">
        <w:rPr>
          <w:lang w:val="en-GB"/>
        </w:rPr>
        <w:t xml:space="preserve">and </w:t>
      </w:r>
      <w:r w:rsidR="008D4815" w:rsidRPr="0000169A">
        <w:rPr>
          <w:lang w:val="en-GB"/>
        </w:rPr>
        <w:t xml:space="preserve">its related </w:t>
      </w:r>
      <w:r w:rsidR="00E44CED" w:rsidRPr="0000169A">
        <w:rPr>
          <w:lang w:val="en-GB"/>
        </w:rPr>
        <w:t xml:space="preserve">unit </w:t>
      </w:r>
      <w:r w:rsidR="00A23A8A" w:rsidRPr="0000169A">
        <w:rPr>
          <w:lang w:val="en-GB"/>
        </w:rPr>
        <w:t>cost</w:t>
      </w:r>
      <w:r w:rsidR="00E44CED" w:rsidRPr="0000169A">
        <w:rPr>
          <w:lang w:val="en-GB"/>
        </w:rPr>
        <w:t>s</w:t>
      </w:r>
      <w:r w:rsidR="00D3087C" w:rsidRPr="0000169A">
        <w:rPr>
          <w:lang w:val="en-GB"/>
        </w:rPr>
        <w:t>.</w:t>
      </w:r>
    </w:p>
    <w:p w14:paraId="294D3A07" w14:textId="46BE4059" w:rsidR="00596B3E" w:rsidRPr="0000169A" w:rsidRDefault="00596B3E" w:rsidP="00424B73">
      <w:pPr>
        <w:pStyle w:val="ListParagraph"/>
        <w:numPr>
          <w:ilvl w:val="0"/>
          <w:numId w:val="6"/>
        </w:numPr>
        <w:spacing w:after="0"/>
        <w:contextualSpacing w:val="0"/>
        <w:jc w:val="both"/>
        <w:rPr>
          <w:rFonts w:cs="TT267t00"/>
          <w:lang w:val="en-GB"/>
        </w:rPr>
      </w:pPr>
      <w:proofErr w:type="spellStart"/>
      <w:r w:rsidRPr="0000169A">
        <w:rPr>
          <w:rFonts w:cs="TT267t00"/>
          <w:i/>
          <w:iCs/>
          <w:lang w:val="en-GB"/>
        </w:rPr>
        <w:t>Assistive_Products_Costs</w:t>
      </w:r>
      <w:proofErr w:type="spellEnd"/>
      <w:r w:rsidRPr="0000169A">
        <w:rPr>
          <w:rFonts w:cs="TT267t00"/>
          <w:i/>
          <w:iCs/>
          <w:lang w:val="en-GB"/>
        </w:rPr>
        <w:t>:</w:t>
      </w:r>
      <w:r w:rsidR="00D66F66" w:rsidRPr="0000169A">
        <w:rPr>
          <w:rFonts w:cs="TT267t00"/>
          <w:i/>
          <w:iCs/>
          <w:lang w:val="en-GB"/>
        </w:rPr>
        <w:t xml:space="preserve"> </w:t>
      </w:r>
      <w:r w:rsidR="00424B73" w:rsidRPr="0000169A">
        <w:rPr>
          <w:rFonts w:cs="TT267t00"/>
          <w:lang w:val="en-GB"/>
        </w:rPr>
        <w:t>Lists all assistive products, commodities etc. for the specific program.</w:t>
      </w:r>
    </w:p>
    <w:p w14:paraId="0FA138C2" w14:textId="70AEC2DC" w:rsidR="00596B3E" w:rsidRPr="0000169A" w:rsidRDefault="00596B3E" w:rsidP="00596B3E">
      <w:pPr>
        <w:pStyle w:val="ListParagraph"/>
        <w:numPr>
          <w:ilvl w:val="0"/>
          <w:numId w:val="6"/>
        </w:numPr>
        <w:spacing w:after="0"/>
        <w:contextualSpacing w:val="0"/>
        <w:jc w:val="both"/>
        <w:rPr>
          <w:rFonts w:cs="TT267t00"/>
          <w:lang w:val="en-GB"/>
        </w:rPr>
      </w:pPr>
      <w:proofErr w:type="spellStart"/>
      <w:r w:rsidRPr="0000169A">
        <w:rPr>
          <w:rFonts w:cs="TT267t00"/>
          <w:i/>
          <w:iCs/>
          <w:lang w:val="en-GB"/>
        </w:rPr>
        <w:t>Other_Recurrent_Costs</w:t>
      </w:r>
      <w:proofErr w:type="spellEnd"/>
      <w:r w:rsidRPr="0000169A">
        <w:rPr>
          <w:rFonts w:cs="TT267t00"/>
          <w:i/>
          <w:iCs/>
          <w:lang w:val="en-GB"/>
        </w:rPr>
        <w:t>:</w:t>
      </w:r>
      <w:r w:rsidR="00FD4F25" w:rsidRPr="0000169A">
        <w:rPr>
          <w:rFonts w:cs="TT267t00"/>
          <w:lang w:val="en-GB"/>
        </w:rPr>
        <w:t xml:space="preserve"> </w:t>
      </w:r>
      <w:r w:rsidR="00D3087C" w:rsidRPr="0000169A">
        <w:rPr>
          <w:rFonts w:cs="TT267t00"/>
          <w:lang w:val="en-GB"/>
        </w:rPr>
        <w:t>Lists all recurrent program related costs.</w:t>
      </w:r>
    </w:p>
    <w:p w14:paraId="73454790" w14:textId="0E0C1B11" w:rsidR="00596B3E" w:rsidRPr="0000169A" w:rsidRDefault="00596B3E" w:rsidP="004B1CBB">
      <w:pPr>
        <w:pStyle w:val="ListParagraph"/>
        <w:numPr>
          <w:ilvl w:val="0"/>
          <w:numId w:val="6"/>
        </w:numPr>
        <w:rPr>
          <w:rFonts w:cs="TT267t00"/>
          <w:lang w:val="en-GB"/>
        </w:rPr>
      </w:pPr>
      <w:proofErr w:type="spellStart"/>
      <w:r w:rsidRPr="0000169A">
        <w:rPr>
          <w:rFonts w:cs="TT267t00"/>
          <w:i/>
          <w:iCs/>
          <w:lang w:val="en-GB"/>
        </w:rPr>
        <w:t>Start_Up_Capital_Costs</w:t>
      </w:r>
      <w:proofErr w:type="spellEnd"/>
      <w:r w:rsidRPr="0000169A">
        <w:rPr>
          <w:rFonts w:cs="TT267t00"/>
          <w:i/>
          <w:iCs/>
          <w:lang w:val="en-GB"/>
        </w:rPr>
        <w:t>:</w:t>
      </w:r>
      <w:r w:rsidR="00D3087C" w:rsidRPr="0000169A">
        <w:rPr>
          <w:rFonts w:cs="TT267t00"/>
          <w:lang w:val="en-GB"/>
        </w:rPr>
        <w:t xml:space="preserve"> </w:t>
      </w:r>
      <w:r w:rsidR="004B1CBB" w:rsidRPr="0000169A">
        <w:rPr>
          <w:rFonts w:cs="TT267t00"/>
          <w:lang w:val="en-GB"/>
        </w:rPr>
        <w:t>Lists all costs that are fixed, one-time expenses.</w:t>
      </w:r>
    </w:p>
    <w:p w14:paraId="37FFAA60" w14:textId="71196CF9" w:rsidR="00596B3E" w:rsidRPr="0000169A" w:rsidRDefault="00596B3E" w:rsidP="00FD4F25">
      <w:pPr>
        <w:pStyle w:val="ListParagraph"/>
        <w:numPr>
          <w:ilvl w:val="0"/>
          <w:numId w:val="6"/>
        </w:numPr>
        <w:spacing w:after="0"/>
        <w:contextualSpacing w:val="0"/>
        <w:jc w:val="both"/>
        <w:rPr>
          <w:rFonts w:cs="TT267t00"/>
          <w:lang w:val="en-GB"/>
        </w:rPr>
      </w:pPr>
      <w:r w:rsidRPr="0000169A">
        <w:rPr>
          <w:rFonts w:cs="TT267t00"/>
          <w:i/>
          <w:iCs/>
          <w:lang w:val="en-GB"/>
        </w:rPr>
        <w:t xml:space="preserve">Financing: </w:t>
      </w:r>
      <w:r w:rsidR="00FD4F25" w:rsidRPr="0000169A">
        <w:rPr>
          <w:rFonts w:cs="TT267t00"/>
          <w:lang w:val="en-GB"/>
        </w:rPr>
        <w:t>Input funding commitments and anticipated funds towards the program.</w:t>
      </w:r>
    </w:p>
    <w:p w14:paraId="220BB5BF" w14:textId="05D5A31A" w:rsidR="00EB2F5A" w:rsidRPr="0000169A" w:rsidRDefault="00203308" w:rsidP="0023377A">
      <w:pPr>
        <w:pStyle w:val="ListParagraph"/>
        <w:numPr>
          <w:ilvl w:val="0"/>
          <w:numId w:val="4"/>
        </w:numPr>
        <w:spacing w:after="0"/>
        <w:contextualSpacing w:val="0"/>
        <w:jc w:val="both"/>
        <w:rPr>
          <w:rFonts w:cs="TT267t00"/>
          <w:lang w:val="en-GB"/>
        </w:rPr>
      </w:pPr>
      <w:r w:rsidRPr="0000169A">
        <w:rPr>
          <w:rFonts w:cs="TT267t00"/>
          <w:b/>
          <w:bCs/>
          <w:lang w:val="en-GB"/>
        </w:rPr>
        <w:t xml:space="preserve">Summary Results </w:t>
      </w:r>
      <w:r w:rsidRPr="0000169A">
        <w:rPr>
          <w:rFonts w:cs="TT267t00"/>
          <w:lang w:val="en-GB"/>
        </w:rPr>
        <w:t>(SUMMARY TABS)</w:t>
      </w:r>
      <w:r w:rsidR="00EB2F5A" w:rsidRPr="0000169A">
        <w:rPr>
          <w:rFonts w:cs="TT267t00"/>
          <w:lang w:val="en-GB"/>
        </w:rPr>
        <w:t>:</w:t>
      </w:r>
      <w:r w:rsidR="00B1058E" w:rsidRPr="0000169A">
        <w:rPr>
          <w:rFonts w:cs="TT267t00"/>
          <w:lang w:val="en-GB"/>
        </w:rPr>
        <w:t xml:space="preserve"> </w:t>
      </w:r>
      <w:r w:rsidRPr="0000169A">
        <w:rPr>
          <w:rFonts w:cs="TT267t00"/>
          <w:lang w:val="en-GB"/>
        </w:rPr>
        <w:t>contains three working sheets that summarize the program costs for the selected scale-up period.</w:t>
      </w:r>
    </w:p>
    <w:p w14:paraId="6FDEC56E" w14:textId="3BC89A2A" w:rsidR="00203308" w:rsidRPr="0000169A" w:rsidRDefault="00596B3E" w:rsidP="00596B3E">
      <w:pPr>
        <w:pStyle w:val="ListParagraph"/>
        <w:numPr>
          <w:ilvl w:val="1"/>
          <w:numId w:val="4"/>
        </w:numPr>
        <w:spacing w:after="0"/>
        <w:ind w:left="1077" w:hanging="357"/>
        <w:contextualSpacing w:val="0"/>
        <w:jc w:val="both"/>
        <w:rPr>
          <w:rFonts w:cs="TT267t00"/>
          <w:lang w:val="en-GB"/>
        </w:rPr>
      </w:pPr>
      <w:proofErr w:type="spellStart"/>
      <w:r w:rsidRPr="0000169A">
        <w:rPr>
          <w:rFonts w:cs="TT267t00"/>
          <w:i/>
          <w:iCs/>
          <w:lang w:val="en-GB"/>
        </w:rPr>
        <w:t>Summary_Tables</w:t>
      </w:r>
      <w:proofErr w:type="spellEnd"/>
      <w:r w:rsidRPr="0000169A">
        <w:rPr>
          <w:rFonts w:cs="TT267t00"/>
          <w:i/>
          <w:iCs/>
          <w:lang w:val="en-GB"/>
        </w:rPr>
        <w:t>:</w:t>
      </w:r>
      <w:r w:rsidR="005B69DC" w:rsidRPr="0000169A">
        <w:rPr>
          <w:rFonts w:cs="TT267t00"/>
          <w:lang w:val="en-GB"/>
        </w:rPr>
        <w:t xml:space="preserve"> Consolidates all results for the forecasted years.</w:t>
      </w:r>
    </w:p>
    <w:p w14:paraId="03A76F6E" w14:textId="333D9A5F" w:rsidR="00596B3E" w:rsidRPr="0000169A" w:rsidRDefault="00596B3E" w:rsidP="00596B3E">
      <w:pPr>
        <w:pStyle w:val="ListParagraph"/>
        <w:numPr>
          <w:ilvl w:val="1"/>
          <w:numId w:val="4"/>
        </w:numPr>
        <w:spacing w:after="0"/>
        <w:ind w:left="1077" w:hanging="357"/>
        <w:contextualSpacing w:val="0"/>
        <w:jc w:val="both"/>
        <w:rPr>
          <w:rFonts w:cs="TT267t00"/>
          <w:lang w:val="en-GB"/>
        </w:rPr>
      </w:pPr>
      <w:r w:rsidRPr="0000169A">
        <w:rPr>
          <w:rFonts w:cs="TT267t00"/>
          <w:i/>
          <w:iCs/>
          <w:lang w:val="en-GB"/>
        </w:rPr>
        <w:t>Graphs:</w:t>
      </w:r>
      <w:r w:rsidR="003E3273" w:rsidRPr="0000169A">
        <w:rPr>
          <w:rFonts w:cs="TT267t00"/>
          <w:lang w:val="en-GB"/>
        </w:rPr>
        <w:t xml:space="preserve"> Key results presented in graph format</w:t>
      </w:r>
    </w:p>
    <w:p w14:paraId="2D305C69" w14:textId="598988C2" w:rsidR="00596B3E" w:rsidRPr="0000169A" w:rsidRDefault="00596B3E" w:rsidP="004B1CBB">
      <w:pPr>
        <w:pStyle w:val="ListParagraph"/>
        <w:numPr>
          <w:ilvl w:val="1"/>
          <w:numId w:val="4"/>
        </w:numPr>
        <w:spacing w:after="120"/>
        <w:ind w:left="1077" w:hanging="357"/>
        <w:jc w:val="both"/>
        <w:rPr>
          <w:rFonts w:cs="TT267t00"/>
          <w:lang w:val="en-GB"/>
        </w:rPr>
      </w:pPr>
      <w:proofErr w:type="spellStart"/>
      <w:r w:rsidRPr="0000169A">
        <w:rPr>
          <w:rFonts w:cs="TT267t00"/>
          <w:i/>
          <w:iCs/>
          <w:lang w:val="en-GB"/>
        </w:rPr>
        <w:lastRenderedPageBreak/>
        <w:t>AP_Quantification</w:t>
      </w:r>
      <w:proofErr w:type="spellEnd"/>
      <w:r w:rsidRPr="0000169A">
        <w:rPr>
          <w:rFonts w:cs="TT267t00"/>
          <w:i/>
          <w:iCs/>
          <w:lang w:val="en-GB"/>
        </w:rPr>
        <w:t>:</w:t>
      </w:r>
      <w:r w:rsidR="006D6BC4" w:rsidRPr="0000169A">
        <w:rPr>
          <w:rFonts w:cs="TT267t00"/>
          <w:lang w:val="en-GB"/>
        </w:rPr>
        <w:t xml:space="preserve"> </w:t>
      </w:r>
      <w:r w:rsidR="004B1CBB" w:rsidRPr="0000169A">
        <w:rPr>
          <w:rFonts w:cs="TT267t00"/>
          <w:lang w:val="en-GB"/>
        </w:rPr>
        <w:t>Consolidates</w:t>
      </w:r>
      <w:r w:rsidR="004B1CBB" w:rsidRPr="0000169A">
        <w:rPr>
          <w:lang w:val="en-GB"/>
        </w:rPr>
        <w:t xml:space="preserve"> </w:t>
      </w:r>
      <w:r w:rsidR="004B1CBB" w:rsidRPr="0000169A">
        <w:rPr>
          <w:rFonts w:cs="TT267t00"/>
          <w:lang w:val="en-GB"/>
        </w:rPr>
        <w:t>units required assistive products, commodities, and related costs by forecast year.</w:t>
      </w:r>
    </w:p>
    <w:p w14:paraId="745E5443" w14:textId="07EB2D19" w:rsidR="00CF086C" w:rsidRPr="0000169A" w:rsidRDefault="00EB2F5A" w:rsidP="00145F43">
      <w:pPr>
        <w:pStyle w:val="ListParagraph"/>
        <w:numPr>
          <w:ilvl w:val="0"/>
          <w:numId w:val="4"/>
        </w:numPr>
        <w:spacing w:after="120"/>
        <w:jc w:val="both"/>
        <w:rPr>
          <w:rFonts w:cs="TT267t00"/>
          <w:lang w:val="en-GB"/>
        </w:rPr>
      </w:pPr>
      <w:r w:rsidRPr="0000169A">
        <w:rPr>
          <w:rFonts w:cs="TT267t00"/>
          <w:b/>
          <w:bCs/>
          <w:lang w:val="en-GB"/>
        </w:rPr>
        <w:t>Reference data</w:t>
      </w:r>
      <w:r w:rsidRPr="0000169A">
        <w:rPr>
          <w:rFonts w:cs="TT267t00"/>
          <w:lang w:val="en-GB"/>
        </w:rPr>
        <w:t xml:space="preserve"> </w:t>
      </w:r>
      <w:r w:rsidR="00526656" w:rsidRPr="0000169A">
        <w:rPr>
          <w:rFonts w:cs="TT267t00"/>
          <w:lang w:val="en-GB"/>
        </w:rPr>
        <w:t>(</w:t>
      </w:r>
      <w:r w:rsidRPr="0000169A">
        <w:rPr>
          <w:rFonts w:cs="TT267t00"/>
          <w:lang w:val="en-GB"/>
        </w:rPr>
        <w:t>REFERENCE DATA</w:t>
      </w:r>
      <w:r w:rsidR="00526656" w:rsidRPr="0000169A">
        <w:rPr>
          <w:rFonts w:cs="TT267t00"/>
          <w:lang w:val="en-GB"/>
        </w:rPr>
        <w:t xml:space="preserve">): </w:t>
      </w:r>
      <w:r w:rsidR="00CF086C" w:rsidRPr="0000169A">
        <w:rPr>
          <w:rFonts w:cs="TT267t00"/>
          <w:lang w:val="en-GB"/>
        </w:rPr>
        <w:t xml:space="preserve">contains </w:t>
      </w:r>
      <w:r w:rsidR="00606467" w:rsidRPr="0000169A">
        <w:rPr>
          <w:rFonts w:cs="TT267t00"/>
          <w:lang w:val="en-GB"/>
        </w:rPr>
        <w:t xml:space="preserve">four working </w:t>
      </w:r>
      <w:r w:rsidR="00CF086C" w:rsidRPr="0000169A">
        <w:rPr>
          <w:rFonts w:cs="TT267t00"/>
          <w:lang w:val="en-GB"/>
        </w:rPr>
        <w:t>sheets</w:t>
      </w:r>
      <w:r w:rsidR="00606467" w:rsidRPr="0000169A">
        <w:rPr>
          <w:rFonts w:cs="TT267t00"/>
          <w:lang w:val="en-GB"/>
        </w:rPr>
        <w:t>.</w:t>
      </w:r>
    </w:p>
    <w:p w14:paraId="719DE45A" w14:textId="1BE4C546" w:rsidR="00CF086C" w:rsidRPr="0000169A" w:rsidRDefault="00606467" w:rsidP="00145F43">
      <w:pPr>
        <w:pStyle w:val="ListParagraph"/>
        <w:numPr>
          <w:ilvl w:val="0"/>
          <w:numId w:val="27"/>
        </w:numPr>
        <w:spacing w:after="120"/>
        <w:jc w:val="both"/>
        <w:rPr>
          <w:rFonts w:cs="TT267t00"/>
          <w:lang w:val="en-GB"/>
        </w:rPr>
      </w:pPr>
      <w:r w:rsidRPr="0000169A">
        <w:rPr>
          <w:rFonts w:cs="TT267t00"/>
          <w:i/>
          <w:iCs/>
          <w:lang w:val="en-GB"/>
        </w:rPr>
        <w:t>REF</w:t>
      </w:r>
      <w:r w:rsidRPr="0000169A">
        <w:rPr>
          <w:i/>
          <w:iCs/>
          <w:lang w:val="en-GB"/>
        </w:rPr>
        <w:t xml:space="preserve"> </w:t>
      </w:r>
      <w:r w:rsidRPr="0000169A">
        <w:rPr>
          <w:rFonts w:cs="TT267t00"/>
          <w:i/>
          <w:iCs/>
          <w:lang w:val="en-GB"/>
        </w:rPr>
        <w:t xml:space="preserve">| </w:t>
      </w:r>
      <w:proofErr w:type="spellStart"/>
      <w:r w:rsidRPr="0000169A">
        <w:rPr>
          <w:rFonts w:cs="TT267t00"/>
          <w:i/>
          <w:iCs/>
          <w:lang w:val="en-GB"/>
        </w:rPr>
        <w:t>Country_Database</w:t>
      </w:r>
      <w:proofErr w:type="spellEnd"/>
      <w:r w:rsidRPr="0000169A">
        <w:rPr>
          <w:rFonts w:cs="TT267t00"/>
          <w:lang w:val="en-GB"/>
        </w:rPr>
        <w:t xml:space="preserve">: </w:t>
      </w:r>
      <w:r w:rsidR="004B5965" w:rsidRPr="0000169A">
        <w:rPr>
          <w:rFonts w:cs="TT267t00"/>
          <w:lang w:val="en-GB"/>
        </w:rPr>
        <w:t xml:space="preserve">Reference information on countries, such as </w:t>
      </w:r>
      <w:r w:rsidR="00CF086C" w:rsidRPr="0000169A">
        <w:rPr>
          <w:rFonts w:cs="TT267t00"/>
          <w:lang w:val="en-GB"/>
        </w:rPr>
        <w:t>population</w:t>
      </w:r>
      <w:r w:rsidR="004B5965" w:rsidRPr="0000169A">
        <w:rPr>
          <w:rFonts w:cs="TT267t00"/>
          <w:lang w:val="en-GB"/>
        </w:rPr>
        <w:t xml:space="preserve"> and national currency.</w:t>
      </w:r>
    </w:p>
    <w:p w14:paraId="3270CA00" w14:textId="5F3EA7B3" w:rsidR="00596B3E" w:rsidRPr="0000169A" w:rsidRDefault="00596B3E" w:rsidP="00145F43">
      <w:pPr>
        <w:pStyle w:val="ListParagraph"/>
        <w:numPr>
          <w:ilvl w:val="0"/>
          <w:numId w:val="27"/>
        </w:numPr>
        <w:spacing w:after="120"/>
        <w:jc w:val="both"/>
        <w:rPr>
          <w:rFonts w:cs="TT267t00"/>
          <w:lang w:val="en-GB"/>
        </w:rPr>
      </w:pPr>
      <w:r w:rsidRPr="0000169A">
        <w:rPr>
          <w:rFonts w:cs="TT267t00"/>
          <w:i/>
          <w:iCs/>
          <w:lang w:val="en-GB"/>
        </w:rPr>
        <w:t xml:space="preserve">REF | </w:t>
      </w:r>
      <w:proofErr w:type="spellStart"/>
      <w:r w:rsidRPr="0000169A">
        <w:rPr>
          <w:rFonts w:cs="TT267t00"/>
          <w:i/>
          <w:iCs/>
          <w:lang w:val="en-GB"/>
        </w:rPr>
        <w:t>AT_Catalogue_Vision</w:t>
      </w:r>
      <w:proofErr w:type="spellEnd"/>
      <w:r w:rsidRPr="0000169A">
        <w:rPr>
          <w:rFonts w:cs="TT267t00"/>
          <w:lang w:val="en-GB"/>
        </w:rPr>
        <w:t>:</w:t>
      </w:r>
      <w:r w:rsidR="00CC1267" w:rsidRPr="0000169A">
        <w:rPr>
          <w:rFonts w:cs="TT267t00"/>
          <w:lang w:val="en-GB"/>
        </w:rPr>
        <w:t xml:space="preserve"> Reference prices of assistive product, commodities etc. </w:t>
      </w:r>
    </w:p>
    <w:p w14:paraId="21E3B478" w14:textId="5A2F8D11" w:rsidR="00596B3E" w:rsidRPr="0000169A" w:rsidRDefault="00596B3E" w:rsidP="00145F43">
      <w:pPr>
        <w:pStyle w:val="ListParagraph"/>
        <w:numPr>
          <w:ilvl w:val="0"/>
          <w:numId w:val="27"/>
        </w:numPr>
        <w:spacing w:after="120"/>
        <w:jc w:val="both"/>
        <w:rPr>
          <w:rFonts w:cs="TT267t00"/>
          <w:lang w:val="en-GB"/>
        </w:rPr>
      </w:pPr>
      <w:r w:rsidRPr="0000169A">
        <w:rPr>
          <w:rFonts w:cs="TT267t00"/>
          <w:i/>
          <w:iCs/>
          <w:lang w:val="en-GB"/>
        </w:rPr>
        <w:t>REF |</w:t>
      </w:r>
      <w:r w:rsidR="00DF17FD" w:rsidRPr="0000169A">
        <w:rPr>
          <w:rFonts w:cs="TT267t00"/>
          <w:i/>
          <w:iCs/>
          <w:lang w:val="en-GB"/>
        </w:rPr>
        <w:t xml:space="preserve"> </w:t>
      </w:r>
      <w:proofErr w:type="spellStart"/>
      <w:r w:rsidR="00DF17FD" w:rsidRPr="0000169A">
        <w:rPr>
          <w:rFonts w:cs="TT267t00"/>
          <w:i/>
          <w:iCs/>
          <w:lang w:val="en-GB"/>
        </w:rPr>
        <w:t>Salary_Scales</w:t>
      </w:r>
      <w:proofErr w:type="spellEnd"/>
      <w:r w:rsidR="00DF17FD" w:rsidRPr="0000169A">
        <w:rPr>
          <w:rFonts w:cs="TT267t00"/>
          <w:lang w:val="en-GB"/>
        </w:rPr>
        <w:t xml:space="preserve">: </w:t>
      </w:r>
      <w:r w:rsidR="00CC1267" w:rsidRPr="0000169A">
        <w:rPr>
          <w:rFonts w:cs="TT267t00"/>
          <w:lang w:val="en-GB"/>
        </w:rPr>
        <w:t>Reference salary scales for HCWs.</w:t>
      </w:r>
    </w:p>
    <w:p w14:paraId="41D54206" w14:textId="05445C85" w:rsidR="00EB2F5A" w:rsidRPr="0000169A" w:rsidRDefault="00606467" w:rsidP="00145F43">
      <w:pPr>
        <w:pStyle w:val="ListParagraph"/>
        <w:numPr>
          <w:ilvl w:val="0"/>
          <w:numId w:val="27"/>
        </w:numPr>
        <w:spacing w:after="120"/>
        <w:contextualSpacing w:val="0"/>
        <w:jc w:val="both"/>
        <w:rPr>
          <w:rFonts w:cs="TT267t00"/>
          <w:lang w:val="en-GB"/>
        </w:rPr>
      </w:pPr>
      <w:r w:rsidRPr="0000169A">
        <w:rPr>
          <w:rFonts w:cs="TT267t00"/>
          <w:i/>
          <w:iCs/>
          <w:lang w:val="en-GB"/>
        </w:rPr>
        <w:t>REF</w:t>
      </w:r>
      <w:r w:rsidRPr="0000169A">
        <w:rPr>
          <w:i/>
          <w:iCs/>
          <w:lang w:val="en-GB"/>
        </w:rPr>
        <w:t xml:space="preserve"> </w:t>
      </w:r>
      <w:r w:rsidRPr="0000169A">
        <w:rPr>
          <w:rFonts w:cs="TT267t00"/>
          <w:i/>
          <w:iCs/>
          <w:lang w:val="en-GB"/>
        </w:rPr>
        <w:t>| Blank_1/2/3</w:t>
      </w:r>
      <w:r w:rsidR="00CF086C" w:rsidRPr="0000169A">
        <w:rPr>
          <w:rFonts w:cs="TT267t00"/>
          <w:lang w:val="en-GB"/>
        </w:rPr>
        <w:t xml:space="preserve">: </w:t>
      </w:r>
      <w:r w:rsidR="00145F43" w:rsidRPr="0000169A">
        <w:rPr>
          <w:rFonts w:cs="TT267t00"/>
          <w:lang w:val="en-GB"/>
        </w:rPr>
        <w:t xml:space="preserve">three working sheets left blank where the </w:t>
      </w:r>
      <w:r w:rsidR="00CF086C" w:rsidRPr="0000169A">
        <w:rPr>
          <w:rFonts w:cs="TT267t00"/>
          <w:lang w:val="en-GB"/>
        </w:rPr>
        <w:t>user can input any reference data</w:t>
      </w:r>
      <w:r w:rsidR="00145F43" w:rsidRPr="0000169A">
        <w:rPr>
          <w:rFonts w:cs="TT267t00"/>
          <w:lang w:val="en-GB"/>
        </w:rPr>
        <w:t xml:space="preserve"> deemed useful</w:t>
      </w:r>
      <w:r w:rsidR="00CF086C" w:rsidRPr="0000169A">
        <w:rPr>
          <w:rFonts w:cs="TT267t00"/>
          <w:lang w:val="en-GB"/>
        </w:rPr>
        <w:t>, such as cost reference data</w:t>
      </w:r>
      <w:r w:rsidR="00145F43" w:rsidRPr="0000169A">
        <w:rPr>
          <w:rFonts w:cs="TT267t00"/>
          <w:lang w:val="en-GB"/>
        </w:rPr>
        <w:t>.</w:t>
      </w:r>
    </w:p>
    <w:p w14:paraId="3037344D" w14:textId="5433841D" w:rsidR="00AA568A" w:rsidRPr="0000169A" w:rsidRDefault="00AA568A" w:rsidP="00145F43">
      <w:pPr>
        <w:pStyle w:val="ListParagraph"/>
        <w:numPr>
          <w:ilvl w:val="0"/>
          <w:numId w:val="4"/>
        </w:numPr>
        <w:spacing w:after="120"/>
        <w:jc w:val="both"/>
        <w:rPr>
          <w:rFonts w:cs="TT267t00"/>
          <w:lang w:val="en-GB"/>
        </w:rPr>
      </w:pPr>
      <w:r w:rsidRPr="0000169A">
        <w:rPr>
          <w:rFonts w:cs="TT267t00"/>
          <w:b/>
          <w:bCs/>
          <w:lang w:val="en-GB"/>
        </w:rPr>
        <w:t>Back Calculations</w:t>
      </w:r>
      <w:r w:rsidRPr="0000169A">
        <w:rPr>
          <w:rFonts w:cs="TT267t00"/>
          <w:lang w:val="en-GB"/>
        </w:rPr>
        <w:t>:</w:t>
      </w:r>
      <w:r w:rsidR="00DF2772" w:rsidRPr="0000169A">
        <w:rPr>
          <w:rFonts w:cs="TT267t00"/>
          <w:lang w:val="en-GB"/>
        </w:rPr>
        <w:t xml:space="preserve"> financial and human resources assumptions that will be used for the cost assumptions.</w:t>
      </w:r>
    </w:p>
    <w:p w14:paraId="2AB58173" w14:textId="4FFF00F8" w:rsidR="004B6F1B" w:rsidRPr="0000169A" w:rsidRDefault="00860F59" w:rsidP="00EB2F5A">
      <w:pPr>
        <w:spacing w:after="120"/>
        <w:jc w:val="both"/>
        <w:rPr>
          <w:rFonts w:cs="TT267t00"/>
          <w:lang w:val="en-GB"/>
        </w:rPr>
      </w:pPr>
      <w:r w:rsidRPr="0000169A">
        <w:rPr>
          <w:rFonts w:cs="TT267t00"/>
          <w:lang w:val="en-GB"/>
        </w:rPr>
        <w:t xml:space="preserve">The following sections will focus on the </w:t>
      </w:r>
      <w:r w:rsidR="00925862" w:rsidRPr="0000169A">
        <w:rPr>
          <w:rFonts w:cs="TT267t00"/>
          <w:lang w:val="en-GB"/>
        </w:rPr>
        <w:t>Inputs</w:t>
      </w:r>
      <w:r w:rsidRPr="0000169A">
        <w:rPr>
          <w:rFonts w:cs="TT267t00"/>
          <w:lang w:val="en-GB"/>
        </w:rPr>
        <w:t xml:space="preserve">, </w:t>
      </w:r>
      <w:r w:rsidR="00925862" w:rsidRPr="0000169A">
        <w:rPr>
          <w:rFonts w:cs="TT267t00"/>
          <w:lang w:val="en-GB"/>
        </w:rPr>
        <w:t>Package of Services</w:t>
      </w:r>
      <w:r w:rsidR="009C7BB9" w:rsidRPr="0000169A">
        <w:rPr>
          <w:rFonts w:cs="TT267t00"/>
          <w:lang w:val="en-GB"/>
        </w:rPr>
        <w:t xml:space="preserve">, </w:t>
      </w:r>
      <w:r w:rsidR="00925862" w:rsidRPr="0000169A">
        <w:rPr>
          <w:rFonts w:cs="TT267t00"/>
          <w:lang w:val="en-GB"/>
        </w:rPr>
        <w:t xml:space="preserve">Cost Categories, </w:t>
      </w:r>
      <w:r w:rsidR="000D5CF1" w:rsidRPr="0000169A">
        <w:rPr>
          <w:rFonts w:cs="TT267t00"/>
          <w:lang w:val="en-GB"/>
        </w:rPr>
        <w:t>R</w:t>
      </w:r>
      <w:r w:rsidRPr="0000169A">
        <w:rPr>
          <w:rFonts w:cs="TT267t00"/>
          <w:lang w:val="en-GB"/>
        </w:rPr>
        <w:t>esults summary</w:t>
      </w:r>
      <w:r w:rsidR="00DC5604" w:rsidRPr="0000169A">
        <w:rPr>
          <w:rFonts w:cs="TT267t00"/>
          <w:lang w:val="en-GB"/>
        </w:rPr>
        <w:t xml:space="preserve"> (SUMMARY TABS)</w:t>
      </w:r>
      <w:r w:rsidR="000D5CF1" w:rsidRPr="0000169A">
        <w:rPr>
          <w:rFonts w:cs="TT267t00"/>
          <w:lang w:val="en-GB"/>
        </w:rPr>
        <w:t xml:space="preserve">, and Back calculation </w:t>
      </w:r>
      <w:r w:rsidRPr="0000169A">
        <w:rPr>
          <w:rFonts w:cs="TT267t00"/>
          <w:lang w:val="en-GB"/>
        </w:rPr>
        <w:t xml:space="preserve">sections. The </w:t>
      </w:r>
      <w:r w:rsidR="000D5CF1" w:rsidRPr="0000169A">
        <w:rPr>
          <w:rFonts w:cs="TT267t00"/>
          <w:lang w:val="en-GB"/>
        </w:rPr>
        <w:t>R</w:t>
      </w:r>
      <w:r w:rsidRPr="0000169A">
        <w:rPr>
          <w:rFonts w:cs="TT267t00"/>
          <w:lang w:val="en-GB"/>
        </w:rPr>
        <w:t>eference data section</w:t>
      </w:r>
      <w:r w:rsidR="000D5CF1" w:rsidRPr="0000169A">
        <w:rPr>
          <w:rFonts w:cs="TT267t00"/>
          <w:lang w:val="en-GB"/>
        </w:rPr>
        <w:t xml:space="preserve"> will </w:t>
      </w:r>
      <w:r w:rsidR="00925862" w:rsidRPr="0000169A">
        <w:rPr>
          <w:rFonts w:cs="TT267t00"/>
          <w:lang w:val="en-GB"/>
        </w:rPr>
        <w:t>not</w:t>
      </w:r>
      <w:r w:rsidRPr="0000169A">
        <w:rPr>
          <w:rFonts w:cs="TT267t00"/>
          <w:lang w:val="en-GB"/>
        </w:rPr>
        <w:t xml:space="preserve"> be considered.</w:t>
      </w:r>
    </w:p>
    <w:p w14:paraId="19E1CB6D" w14:textId="48807534" w:rsidR="00DC5604" w:rsidRPr="0000169A" w:rsidRDefault="00916410" w:rsidP="0000169A">
      <w:pPr>
        <w:pStyle w:val="Heading1"/>
        <w:spacing w:after="120"/>
        <w:rPr>
          <w:lang w:val="en-GB"/>
        </w:rPr>
      </w:pPr>
      <w:r>
        <w:rPr>
          <w:lang w:val="en-GB"/>
        </w:rPr>
        <w:t>4</w:t>
      </w:r>
      <w:r w:rsidR="00860F59" w:rsidRPr="0000169A">
        <w:rPr>
          <w:lang w:val="en-GB"/>
        </w:rPr>
        <w:t xml:space="preserve">. </w:t>
      </w:r>
      <w:r w:rsidR="00925862" w:rsidRPr="0000169A">
        <w:rPr>
          <w:lang w:val="en-GB"/>
        </w:rPr>
        <w:t>Inputs</w:t>
      </w:r>
    </w:p>
    <w:tbl>
      <w:tblPr>
        <w:tblStyle w:val="TableGrid"/>
        <w:tblW w:w="0" w:type="auto"/>
        <w:tblBorders>
          <w:insideV w:val="single" w:sz="4" w:space="0" w:color="A6A6A6" w:themeColor="background1" w:themeShade="A6"/>
        </w:tblBorders>
        <w:tblLook w:val="04A0" w:firstRow="1" w:lastRow="0" w:firstColumn="1" w:lastColumn="0" w:noHBand="0" w:noVBand="1"/>
      </w:tblPr>
      <w:tblGrid>
        <w:gridCol w:w="1198"/>
        <w:gridCol w:w="1249"/>
        <w:gridCol w:w="1199"/>
      </w:tblGrid>
      <w:tr w:rsidR="0000169A" w:rsidRPr="0000169A" w14:paraId="30C29482" w14:textId="77777777" w:rsidTr="0000169A">
        <w:tc>
          <w:tcPr>
            <w:tcW w:w="1198" w:type="dxa"/>
            <w:shd w:val="clear" w:color="auto" w:fill="002060"/>
          </w:tcPr>
          <w:p w14:paraId="2CEA396B" w14:textId="351418B8" w:rsidR="0000169A" w:rsidRPr="0000169A" w:rsidRDefault="0000169A" w:rsidP="00371706">
            <w:pPr>
              <w:rPr>
                <w:rFonts w:cs="TT267t00"/>
                <w:color w:val="FFFFFF" w:themeColor="background1"/>
              </w:rPr>
            </w:pPr>
            <w:r w:rsidRPr="0000169A">
              <w:rPr>
                <w:rFonts w:cs="TT267t00"/>
                <w:smallCaps/>
                <w:color w:val="FFFFFF" w:themeColor="background1"/>
              </w:rPr>
              <w:t>I</w:t>
            </w:r>
            <w:r w:rsidRPr="0000169A">
              <w:rPr>
                <w:rFonts w:cs="TT267t00"/>
                <w:color w:val="FFFFFF" w:themeColor="background1"/>
              </w:rPr>
              <w:t>NPUTS -&gt;</w:t>
            </w:r>
          </w:p>
        </w:tc>
        <w:tc>
          <w:tcPr>
            <w:tcW w:w="1198" w:type="dxa"/>
            <w:shd w:val="clear" w:color="auto" w:fill="002060"/>
          </w:tcPr>
          <w:p w14:paraId="30A979BD" w14:textId="4EDF9EF7" w:rsidR="0000169A" w:rsidRPr="0000169A" w:rsidRDefault="0000169A" w:rsidP="00371706">
            <w:pPr>
              <w:rPr>
                <w:rFonts w:cs="TT267t00"/>
                <w:color w:val="FFFFFF" w:themeColor="background1"/>
              </w:rPr>
            </w:pPr>
            <w:r w:rsidRPr="0000169A">
              <w:rPr>
                <w:rFonts w:cs="TT267t00"/>
                <w:color w:val="FFFFFF" w:themeColor="background1"/>
              </w:rPr>
              <w:t>Parameters</w:t>
            </w:r>
          </w:p>
        </w:tc>
        <w:tc>
          <w:tcPr>
            <w:tcW w:w="1199" w:type="dxa"/>
            <w:shd w:val="clear" w:color="auto" w:fill="002060"/>
          </w:tcPr>
          <w:p w14:paraId="70B02684" w14:textId="56C55D83" w:rsidR="0000169A" w:rsidRPr="0000169A" w:rsidRDefault="0000169A" w:rsidP="00371706">
            <w:pPr>
              <w:rPr>
                <w:rFonts w:cs="TT267t00"/>
                <w:color w:val="FFFFFF" w:themeColor="background1"/>
              </w:rPr>
            </w:pPr>
            <w:r w:rsidRPr="0000169A">
              <w:rPr>
                <w:rFonts w:cs="TT267t00"/>
                <w:color w:val="FFFFFF" w:themeColor="background1"/>
              </w:rPr>
              <w:t>Scale-Up</w:t>
            </w:r>
          </w:p>
        </w:tc>
      </w:tr>
    </w:tbl>
    <w:p w14:paraId="5BFEC8F2" w14:textId="77777777" w:rsidR="0000169A" w:rsidRDefault="0000169A" w:rsidP="0000169A">
      <w:pPr>
        <w:spacing w:after="0"/>
        <w:rPr>
          <w:rStyle w:val="IntenseReference"/>
          <w:b w:val="0"/>
          <w:bCs w:val="0"/>
          <w:lang w:val="en-GB"/>
        </w:rPr>
      </w:pPr>
    </w:p>
    <w:p w14:paraId="44EB4B50" w14:textId="11067F8E" w:rsidR="00371706" w:rsidRPr="0000169A" w:rsidRDefault="00916410" w:rsidP="00371706">
      <w:pPr>
        <w:rPr>
          <w:rStyle w:val="IntenseReference"/>
          <w:b w:val="0"/>
          <w:bCs w:val="0"/>
          <w:lang w:val="en-GB"/>
        </w:rPr>
      </w:pPr>
      <w:r>
        <w:rPr>
          <w:rStyle w:val="IntenseReference"/>
          <w:b w:val="0"/>
          <w:bCs w:val="0"/>
          <w:lang w:val="en-GB"/>
        </w:rPr>
        <w:t>4</w:t>
      </w:r>
      <w:r w:rsidR="00371706" w:rsidRPr="0000169A">
        <w:rPr>
          <w:rStyle w:val="IntenseReference"/>
          <w:b w:val="0"/>
          <w:bCs w:val="0"/>
          <w:lang w:val="en-GB"/>
        </w:rPr>
        <w:t xml:space="preserve">.1. </w:t>
      </w:r>
      <w:r w:rsidR="001F50A3" w:rsidRPr="0000169A">
        <w:rPr>
          <w:rStyle w:val="IntenseReference"/>
          <w:b w:val="0"/>
          <w:bCs w:val="0"/>
          <w:lang w:val="en-GB"/>
        </w:rPr>
        <w:t>p</w:t>
      </w:r>
      <w:r w:rsidR="00925862" w:rsidRPr="0000169A">
        <w:rPr>
          <w:rStyle w:val="IntenseReference"/>
          <w:b w:val="0"/>
          <w:bCs w:val="0"/>
          <w:lang w:val="en-GB"/>
        </w:rPr>
        <w:t>arameters</w:t>
      </w:r>
    </w:p>
    <w:p w14:paraId="5F8740E3" w14:textId="6A2C3295" w:rsidR="001E4CF3" w:rsidRPr="0000169A" w:rsidRDefault="001E4CF3" w:rsidP="004B3462">
      <w:pPr>
        <w:jc w:val="both"/>
        <w:rPr>
          <w:lang w:val="en-GB"/>
        </w:rPr>
      </w:pPr>
      <w:r w:rsidRPr="0000169A">
        <w:rPr>
          <w:lang w:val="en-GB"/>
        </w:rPr>
        <w:t xml:space="preserve">The first step is to enter information about the </w:t>
      </w:r>
      <w:r w:rsidR="00FC1482" w:rsidRPr="0000169A">
        <w:rPr>
          <w:lang w:val="en-GB"/>
        </w:rPr>
        <w:t xml:space="preserve">country and the </w:t>
      </w:r>
      <w:r w:rsidRPr="0000169A">
        <w:rPr>
          <w:lang w:val="en-GB"/>
        </w:rPr>
        <w:t xml:space="preserve">program in the </w:t>
      </w:r>
      <w:r w:rsidR="007E0ECE" w:rsidRPr="0000169A">
        <w:rPr>
          <w:i/>
          <w:iCs/>
          <w:lang w:val="en-GB"/>
        </w:rPr>
        <w:t>Parameters</w:t>
      </w:r>
      <w:r w:rsidRPr="0000169A">
        <w:rPr>
          <w:lang w:val="en-GB"/>
        </w:rPr>
        <w:t xml:space="preserve"> sheet.</w:t>
      </w:r>
      <w:r w:rsidR="00FD2063" w:rsidRPr="0000169A">
        <w:rPr>
          <w:lang w:val="en-GB"/>
        </w:rPr>
        <w:t xml:space="preserve"> The information entered in this sheet will be used for calculations in </w:t>
      </w:r>
      <w:r w:rsidR="00B55594" w:rsidRPr="0000169A">
        <w:rPr>
          <w:lang w:val="en-GB"/>
        </w:rPr>
        <w:t>other s</w:t>
      </w:r>
      <w:r w:rsidR="00FD2063" w:rsidRPr="0000169A">
        <w:rPr>
          <w:lang w:val="en-GB"/>
        </w:rPr>
        <w:t>ection</w:t>
      </w:r>
      <w:r w:rsidR="00B55594" w:rsidRPr="0000169A">
        <w:rPr>
          <w:lang w:val="en-GB"/>
        </w:rPr>
        <w:t>s of the tool</w:t>
      </w:r>
      <w:r w:rsidR="0023377A" w:rsidRPr="0000169A">
        <w:rPr>
          <w:lang w:val="en-GB"/>
        </w:rPr>
        <w:t>, all the white cells will be automatically calculated by formula.</w:t>
      </w:r>
    </w:p>
    <w:p w14:paraId="08C9B004" w14:textId="3324FFC2" w:rsidR="006324BF" w:rsidRPr="0000169A" w:rsidRDefault="00FC1482" w:rsidP="00B26EB9">
      <w:pPr>
        <w:pStyle w:val="ListParagraph"/>
        <w:numPr>
          <w:ilvl w:val="0"/>
          <w:numId w:val="34"/>
        </w:numPr>
        <w:spacing w:after="0"/>
        <w:jc w:val="both"/>
        <w:rPr>
          <w:lang w:val="en-GB"/>
        </w:rPr>
      </w:pPr>
      <w:r w:rsidRPr="0000169A">
        <w:rPr>
          <w:b/>
          <w:bCs/>
          <w:lang w:val="en-GB"/>
        </w:rPr>
        <w:t>Country information</w:t>
      </w:r>
      <w:r w:rsidRPr="0000169A">
        <w:rPr>
          <w:lang w:val="en-GB"/>
        </w:rPr>
        <w:t>:</w:t>
      </w:r>
      <w:r w:rsidR="00B931ED" w:rsidRPr="0000169A">
        <w:rPr>
          <w:lang w:val="en-GB"/>
        </w:rPr>
        <w:t xml:space="preserve"> </w:t>
      </w:r>
      <w:r w:rsidR="00973F9B" w:rsidRPr="0000169A">
        <w:rPr>
          <w:i/>
          <w:iCs/>
          <w:lang w:val="en-GB"/>
        </w:rPr>
        <w:t>(Line 4-17)</w:t>
      </w:r>
    </w:p>
    <w:p w14:paraId="5E247F5C" w14:textId="23450855" w:rsidR="006324BF" w:rsidRPr="0000169A" w:rsidRDefault="006324BF" w:rsidP="006324BF">
      <w:pPr>
        <w:pStyle w:val="ListParagraph"/>
        <w:numPr>
          <w:ilvl w:val="2"/>
          <w:numId w:val="33"/>
        </w:numPr>
        <w:rPr>
          <w:lang w:val="en-GB"/>
        </w:rPr>
      </w:pPr>
      <w:r w:rsidRPr="0000169A">
        <w:rPr>
          <w:lang w:val="en-GB"/>
        </w:rPr>
        <w:t>Total population</w:t>
      </w:r>
      <w:r w:rsidR="00973F9B" w:rsidRPr="0000169A">
        <w:rPr>
          <w:lang w:val="en-GB"/>
        </w:rPr>
        <w:t xml:space="preserve"> </w:t>
      </w:r>
      <w:r w:rsidRPr="0000169A">
        <w:rPr>
          <w:lang w:val="en-GB"/>
        </w:rPr>
        <w:t xml:space="preserve">- This tool uses population groups (i.e., Children &lt;5, Adolescents 10-19) to calculate the number of required services; these are country-specific using data from the United Nations Population Division. Default data can be adjusted on Demography calculation worksheet if desired. </w:t>
      </w:r>
    </w:p>
    <w:p w14:paraId="76C920DB" w14:textId="59179A0D" w:rsidR="00B26EB9" w:rsidRPr="0000169A" w:rsidRDefault="00B26EB9" w:rsidP="006324BF">
      <w:pPr>
        <w:pStyle w:val="ListParagraph"/>
        <w:numPr>
          <w:ilvl w:val="2"/>
          <w:numId w:val="33"/>
        </w:numPr>
        <w:jc w:val="both"/>
        <w:rPr>
          <w:lang w:val="en-GB"/>
        </w:rPr>
      </w:pPr>
      <w:r w:rsidRPr="0000169A">
        <w:rPr>
          <w:lang w:val="en-GB"/>
        </w:rPr>
        <w:t>The name of the country</w:t>
      </w:r>
      <w:r w:rsidR="00751968" w:rsidRPr="0000169A">
        <w:rPr>
          <w:lang w:val="en-GB"/>
        </w:rPr>
        <w:t>.</w:t>
      </w:r>
    </w:p>
    <w:p w14:paraId="55D33208" w14:textId="797DCAD9" w:rsidR="00B26EB9" w:rsidRPr="0000169A" w:rsidRDefault="00B26EB9" w:rsidP="006324BF">
      <w:pPr>
        <w:pStyle w:val="ListParagraph"/>
        <w:numPr>
          <w:ilvl w:val="2"/>
          <w:numId w:val="33"/>
        </w:numPr>
        <w:jc w:val="both"/>
        <w:rPr>
          <w:lang w:val="en-GB"/>
        </w:rPr>
      </w:pPr>
      <w:r w:rsidRPr="0000169A">
        <w:rPr>
          <w:lang w:val="en-GB"/>
        </w:rPr>
        <w:t>Population growth rate</w:t>
      </w:r>
      <w:r w:rsidR="00751968" w:rsidRPr="0000169A">
        <w:rPr>
          <w:lang w:val="en-GB"/>
        </w:rPr>
        <w:t>.</w:t>
      </w:r>
    </w:p>
    <w:p w14:paraId="14E7FC4C" w14:textId="3BB2DA69" w:rsidR="006324BF" w:rsidRPr="0000169A" w:rsidRDefault="00B26EB9" w:rsidP="006324BF">
      <w:pPr>
        <w:pStyle w:val="ListParagraph"/>
        <w:numPr>
          <w:ilvl w:val="2"/>
          <w:numId w:val="33"/>
        </w:numPr>
        <w:jc w:val="both"/>
        <w:rPr>
          <w:lang w:val="en-GB"/>
        </w:rPr>
      </w:pPr>
      <w:r w:rsidRPr="0000169A">
        <w:rPr>
          <w:lang w:val="en-GB"/>
        </w:rPr>
        <w:t>The national currency - USD exchange rate</w:t>
      </w:r>
      <w:r w:rsidR="006324BF" w:rsidRPr="0000169A">
        <w:rPr>
          <w:lang w:val="en-GB"/>
        </w:rPr>
        <w:t xml:space="preserve"> Ensure that all cost and financing data are entered in the same currency. The results can be displayed in either USD or National Currency (toggle on the </w:t>
      </w:r>
      <w:r w:rsidR="006324BF" w:rsidRPr="0000169A">
        <w:rPr>
          <w:i/>
          <w:iCs/>
          <w:lang w:val="en-GB"/>
        </w:rPr>
        <w:t>Summary Tables</w:t>
      </w:r>
      <w:r w:rsidR="006324BF" w:rsidRPr="0000169A">
        <w:rPr>
          <w:lang w:val="en-GB"/>
        </w:rPr>
        <w:t xml:space="preserve"> worksheet. </w:t>
      </w:r>
    </w:p>
    <w:p w14:paraId="34FA6FF6" w14:textId="1ADAC0A5" w:rsidR="00B26EB9" w:rsidRPr="0000169A" w:rsidRDefault="006324BF" w:rsidP="006324BF">
      <w:pPr>
        <w:pStyle w:val="ListParagraph"/>
        <w:numPr>
          <w:ilvl w:val="2"/>
          <w:numId w:val="33"/>
        </w:numPr>
        <w:spacing w:before="240"/>
        <w:jc w:val="both"/>
        <w:rPr>
          <w:lang w:val="en-GB"/>
        </w:rPr>
      </w:pPr>
      <w:r w:rsidRPr="0000169A">
        <w:rPr>
          <w:lang w:val="en-GB"/>
        </w:rPr>
        <w:t>Inflation rate (annual) Inflation figures will be applied annually to the costs of each projection year. If you do not wish to apply an inflation rate, simply leave blank or '0'.</w:t>
      </w:r>
    </w:p>
    <w:p w14:paraId="42A3BA93" w14:textId="21D984AF" w:rsidR="0023377A" w:rsidRPr="0000169A" w:rsidRDefault="0023377A" w:rsidP="00243A2F">
      <w:pPr>
        <w:pStyle w:val="ListParagraph"/>
        <w:numPr>
          <w:ilvl w:val="0"/>
          <w:numId w:val="34"/>
        </w:numPr>
        <w:spacing w:before="240"/>
        <w:jc w:val="both"/>
        <w:rPr>
          <w:b/>
          <w:bCs/>
          <w:lang w:val="en-GB"/>
        </w:rPr>
      </w:pPr>
      <w:r w:rsidRPr="0000169A">
        <w:rPr>
          <w:b/>
          <w:bCs/>
          <w:lang w:val="en-GB"/>
        </w:rPr>
        <w:t>Program Information:</w:t>
      </w:r>
      <w:r w:rsidR="00973F9B" w:rsidRPr="0000169A">
        <w:rPr>
          <w:b/>
          <w:bCs/>
          <w:lang w:val="en-GB"/>
        </w:rPr>
        <w:t xml:space="preserve"> </w:t>
      </w:r>
      <w:r w:rsidR="00973F9B" w:rsidRPr="0000169A">
        <w:rPr>
          <w:i/>
          <w:iCs/>
          <w:lang w:val="en-GB"/>
        </w:rPr>
        <w:t>(Line 19-29)</w:t>
      </w:r>
    </w:p>
    <w:p w14:paraId="0078723F" w14:textId="0E8654B4" w:rsidR="006324BF" w:rsidRPr="0000169A" w:rsidRDefault="006324BF" w:rsidP="006324BF">
      <w:pPr>
        <w:pStyle w:val="ListParagraph"/>
        <w:numPr>
          <w:ilvl w:val="0"/>
          <w:numId w:val="35"/>
        </w:numPr>
        <w:ind w:left="2154" w:hanging="357"/>
        <w:rPr>
          <w:lang w:val="en-GB"/>
        </w:rPr>
      </w:pPr>
      <w:r w:rsidRPr="0000169A">
        <w:rPr>
          <w:lang w:val="en-GB"/>
        </w:rPr>
        <w:t xml:space="preserve">Program baseline year - If "Y" is selected, the user will be prompted to enter the number of provinces, districts, health care facilities, communities, etc. that will be covered for each projection year on the </w:t>
      </w:r>
      <w:r w:rsidRPr="0000169A">
        <w:rPr>
          <w:i/>
          <w:iCs/>
          <w:lang w:val="en-GB"/>
        </w:rPr>
        <w:t>Scale-up</w:t>
      </w:r>
      <w:r w:rsidRPr="0000169A">
        <w:rPr>
          <w:lang w:val="en-GB"/>
        </w:rPr>
        <w:t xml:space="preserve"> worksheet. </w:t>
      </w:r>
      <w:r w:rsidR="00C00F7F" w:rsidRPr="0000169A">
        <w:rPr>
          <w:lang w:val="en-GB"/>
        </w:rPr>
        <w:t xml:space="preserve">If "N" is selected, no data entry is required on the </w:t>
      </w:r>
      <w:r w:rsidR="00C00F7F" w:rsidRPr="0000169A">
        <w:rPr>
          <w:i/>
          <w:iCs/>
          <w:lang w:val="en-GB"/>
        </w:rPr>
        <w:t>Scale-up</w:t>
      </w:r>
      <w:r w:rsidR="00C00F7F" w:rsidRPr="0000169A">
        <w:rPr>
          <w:lang w:val="en-GB"/>
        </w:rPr>
        <w:t xml:space="preserve"> worksheet.</w:t>
      </w:r>
    </w:p>
    <w:p w14:paraId="5DAD98B5" w14:textId="48212F73" w:rsidR="006324BF" w:rsidRPr="0000169A" w:rsidRDefault="00C00F7F" w:rsidP="00332D39">
      <w:pPr>
        <w:pStyle w:val="ListParagraph"/>
        <w:numPr>
          <w:ilvl w:val="0"/>
          <w:numId w:val="35"/>
        </w:numPr>
        <w:ind w:left="2154" w:hanging="357"/>
        <w:rPr>
          <w:lang w:val="en-GB"/>
        </w:rPr>
      </w:pPr>
      <w:r w:rsidRPr="0000169A">
        <w:rPr>
          <w:lang w:val="en-GB"/>
        </w:rPr>
        <w:t xml:space="preserve">Percentage of population targeted by services - </w:t>
      </w:r>
      <w:r w:rsidR="006324BF" w:rsidRPr="0000169A">
        <w:rPr>
          <w:lang w:val="en-GB"/>
        </w:rPr>
        <w:t>The user will need to specify the population covered each year, and account for population growth.</w:t>
      </w:r>
    </w:p>
    <w:p w14:paraId="0B686288" w14:textId="7967A3DF" w:rsidR="00657720" w:rsidRPr="0000169A" w:rsidRDefault="00657720" w:rsidP="006C43CF">
      <w:pPr>
        <w:pStyle w:val="ListParagraph"/>
        <w:numPr>
          <w:ilvl w:val="0"/>
          <w:numId w:val="34"/>
        </w:numPr>
        <w:spacing w:after="0"/>
        <w:jc w:val="both"/>
        <w:rPr>
          <w:b/>
          <w:bCs/>
          <w:lang w:val="en-GB"/>
        </w:rPr>
      </w:pPr>
      <w:r w:rsidRPr="0000169A">
        <w:rPr>
          <w:b/>
          <w:bCs/>
          <w:lang w:val="en-GB"/>
        </w:rPr>
        <w:t>Health Systems Implementing the Program:</w:t>
      </w:r>
      <w:r w:rsidR="00973F9B" w:rsidRPr="0000169A">
        <w:rPr>
          <w:b/>
          <w:bCs/>
          <w:lang w:val="en-GB"/>
        </w:rPr>
        <w:t xml:space="preserve"> </w:t>
      </w:r>
      <w:r w:rsidR="00973F9B" w:rsidRPr="0000169A">
        <w:rPr>
          <w:i/>
          <w:iCs/>
          <w:lang w:val="en-GB"/>
        </w:rPr>
        <w:t>(Line 31-39)</w:t>
      </w:r>
    </w:p>
    <w:p w14:paraId="4C3357DC" w14:textId="79B00782" w:rsidR="00657720" w:rsidRPr="0000169A" w:rsidRDefault="00657720" w:rsidP="00C00F7F">
      <w:pPr>
        <w:pStyle w:val="ListParagraph"/>
        <w:numPr>
          <w:ilvl w:val="2"/>
          <w:numId w:val="9"/>
        </w:numPr>
        <w:spacing w:after="0"/>
        <w:ind w:left="2154" w:hanging="357"/>
        <w:contextualSpacing w:val="0"/>
        <w:jc w:val="both"/>
        <w:rPr>
          <w:lang w:val="en-GB"/>
        </w:rPr>
      </w:pPr>
      <w:r w:rsidRPr="0000169A">
        <w:rPr>
          <w:lang w:val="en-GB"/>
        </w:rPr>
        <w:t>Input the</w:t>
      </w:r>
      <w:r w:rsidR="00973F9B" w:rsidRPr="0000169A">
        <w:rPr>
          <w:lang w:val="en-GB"/>
        </w:rPr>
        <w:t xml:space="preserve"> number of health administrative levels i.e., primary, secondary, tertiary etc. </w:t>
      </w:r>
      <w:r w:rsidRPr="0000169A">
        <w:rPr>
          <w:lang w:val="en-GB"/>
        </w:rPr>
        <w:t>that are going to implement the program at baseline year.</w:t>
      </w:r>
    </w:p>
    <w:p w14:paraId="3FE37558" w14:textId="3E5A58BD" w:rsidR="00C00F7F" w:rsidRPr="0000169A" w:rsidRDefault="00FC1482" w:rsidP="006C43CF">
      <w:pPr>
        <w:pStyle w:val="ListParagraph"/>
        <w:numPr>
          <w:ilvl w:val="0"/>
          <w:numId w:val="34"/>
        </w:numPr>
        <w:spacing w:after="120"/>
        <w:jc w:val="both"/>
        <w:rPr>
          <w:lang w:val="en-GB"/>
        </w:rPr>
      </w:pPr>
      <w:r w:rsidRPr="0000169A">
        <w:rPr>
          <w:b/>
          <w:bCs/>
          <w:lang w:val="en-GB"/>
        </w:rPr>
        <w:lastRenderedPageBreak/>
        <w:t>Sources of financing</w:t>
      </w:r>
      <w:r w:rsidRPr="0000169A">
        <w:rPr>
          <w:lang w:val="en-GB"/>
        </w:rPr>
        <w:t>:</w:t>
      </w:r>
      <w:r w:rsidR="003C5CDD" w:rsidRPr="0000169A">
        <w:rPr>
          <w:lang w:val="en-GB"/>
        </w:rPr>
        <w:t xml:space="preserve"> </w:t>
      </w:r>
      <w:r w:rsidR="00973F9B" w:rsidRPr="0000169A">
        <w:rPr>
          <w:i/>
          <w:iCs/>
          <w:lang w:val="en-GB"/>
        </w:rPr>
        <w:t>(Line 42-64)</w:t>
      </w:r>
    </w:p>
    <w:p w14:paraId="606B7999" w14:textId="7B6C8064" w:rsidR="00B931ED" w:rsidRPr="0000169A" w:rsidRDefault="00C00F7F" w:rsidP="00C00F7F">
      <w:pPr>
        <w:pStyle w:val="ListParagraph"/>
        <w:numPr>
          <w:ilvl w:val="2"/>
          <w:numId w:val="9"/>
        </w:numPr>
        <w:spacing w:after="120"/>
        <w:ind w:left="2154" w:hanging="357"/>
        <w:jc w:val="both"/>
        <w:rPr>
          <w:lang w:val="en-GB"/>
        </w:rPr>
      </w:pPr>
      <w:r w:rsidRPr="0000169A">
        <w:rPr>
          <w:lang w:val="en-GB"/>
        </w:rPr>
        <w:t xml:space="preserve">Financing - </w:t>
      </w:r>
      <w:r w:rsidR="00657720" w:rsidRPr="0000169A">
        <w:rPr>
          <w:lang w:val="en-GB"/>
        </w:rPr>
        <w:t>Enter all source</w:t>
      </w:r>
      <w:r w:rsidR="003E6A6B" w:rsidRPr="0000169A">
        <w:rPr>
          <w:lang w:val="en-GB"/>
        </w:rPr>
        <w:t>s</w:t>
      </w:r>
      <w:r w:rsidR="00657720" w:rsidRPr="0000169A">
        <w:rPr>
          <w:lang w:val="en-GB"/>
        </w:rPr>
        <w:t xml:space="preserve"> of funding for the program. The amount of funding provided by each source will be specified on the </w:t>
      </w:r>
      <w:r w:rsidR="00657720" w:rsidRPr="0000169A">
        <w:rPr>
          <w:i/>
          <w:iCs/>
          <w:lang w:val="en-GB"/>
        </w:rPr>
        <w:t>Financing</w:t>
      </w:r>
      <w:r w:rsidRPr="0000169A">
        <w:rPr>
          <w:i/>
          <w:iCs/>
          <w:lang w:val="en-GB"/>
        </w:rPr>
        <w:t xml:space="preserve"> </w:t>
      </w:r>
      <w:r w:rsidR="00657720" w:rsidRPr="0000169A">
        <w:rPr>
          <w:lang w:val="en-GB"/>
        </w:rPr>
        <w:t>worksheet.</w:t>
      </w:r>
      <w:r w:rsidR="001D7DA9" w:rsidRPr="0000169A">
        <w:rPr>
          <w:lang w:val="en-GB"/>
        </w:rPr>
        <w:t xml:space="preserve"> </w:t>
      </w:r>
    </w:p>
    <w:p w14:paraId="4C3EA331" w14:textId="6F381572" w:rsidR="00371706" w:rsidRPr="0000169A" w:rsidRDefault="00916410" w:rsidP="00371706">
      <w:pPr>
        <w:rPr>
          <w:rStyle w:val="IntenseReference"/>
          <w:b w:val="0"/>
          <w:bCs w:val="0"/>
          <w:lang w:val="en-GB"/>
        </w:rPr>
      </w:pPr>
      <w:r>
        <w:rPr>
          <w:rStyle w:val="IntenseReference"/>
          <w:b w:val="0"/>
          <w:bCs w:val="0"/>
          <w:lang w:val="en-GB"/>
        </w:rPr>
        <w:t>4</w:t>
      </w:r>
      <w:r w:rsidR="00371706" w:rsidRPr="0000169A">
        <w:rPr>
          <w:rStyle w:val="IntenseReference"/>
          <w:b w:val="0"/>
          <w:bCs w:val="0"/>
          <w:lang w:val="en-GB"/>
        </w:rPr>
        <w:t xml:space="preserve">.2. </w:t>
      </w:r>
      <w:r w:rsidR="001F50A3" w:rsidRPr="0000169A">
        <w:rPr>
          <w:rStyle w:val="IntenseReference"/>
          <w:b w:val="0"/>
          <w:bCs w:val="0"/>
          <w:lang w:val="en-GB"/>
        </w:rPr>
        <w:t>s</w:t>
      </w:r>
      <w:r w:rsidR="003E6A6B" w:rsidRPr="0000169A">
        <w:rPr>
          <w:rStyle w:val="IntenseReference"/>
          <w:b w:val="0"/>
          <w:bCs w:val="0"/>
          <w:lang w:val="en-GB"/>
        </w:rPr>
        <w:t>cale-up</w:t>
      </w:r>
    </w:p>
    <w:p w14:paraId="592B168C" w14:textId="62957EBE" w:rsidR="00371706" w:rsidRPr="0000169A" w:rsidRDefault="003E6A6B" w:rsidP="00371706">
      <w:pPr>
        <w:jc w:val="both"/>
        <w:rPr>
          <w:highlight w:val="cyan"/>
          <w:lang w:val="en-GB"/>
        </w:rPr>
      </w:pPr>
      <w:r w:rsidRPr="0000169A">
        <w:rPr>
          <w:lang w:val="en-GB"/>
        </w:rPr>
        <w:t xml:space="preserve">If the program will be scaled-up, use this worksheet to input the assumptions for the scale-up. The figures in </w:t>
      </w:r>
      <w:r w:rsidR="00332D39" w:rsidRPr="0000169A">
        <w:rPr>
          <w:lang w:val="en-GB"/>
        </w:rPr>
        <w:t>(</w:t>
      </w:r>
      <w:r w:rsidRPr="0000169A">
        <w:rPr>
          <w:lang w:val="en-GB"/>
        </w:rPr>
        <w:t>Column C</w:t>
      </w:r>
      <w:r w:rsidR="00332D39" w:rsidRPr="0000169A">
        <w:rPr>
          <w:lang w:val="en-GB"/>
        </w:rPr>
        <w:t>)</w:t>
      </w:r>
      <w:r w:rsidRPr="0000169A">
        <w:rPr>
          <w:lang w:val="en-GB"/>
        </w:rPr>
        <w:t xml:space="preserve"> are populated automatically based on the user input in </w:t>
      </w:r>
      <w:proofErr w:type="gramStart"/>
      <w:r w:rsidRPr="0000169A">
        <w:rPr>
          <w:i/>
          <w:iCs/>
          <w:lang w:val="en-GB"/>
        </w:rPr>
        <w:t>Parameters</w:t>
      </w:r>
      <w:proofErr w:type="gramEnd"/>
      <w:r w:rsidRPr="0000169A">
        <w:rPr>
          <w:lang w:val="en-GB"/>
        </w:rPr>
        <w:t xml:space="preserve"> worksheet. Do not over-write any formulas in white cells. Enter data in blue shaded cells only.</w:t>
      </w:r>
    </w:p>
    <w:p w14:paraId="37B7B898" w14:textId="12344F59" w:rsidR="00957737" w:rsidRPr="0000169A" w:rsidRDefault="003E6A6B" w:rsidP="00332D39">
      <w:pPr>
        <w:pStyle w:val="ListParagraph"/>
        <w:numPr>
          <w:ilvl w:val="0"/>
          <w:numId w:val="23"/>
        </w:numPr>
        <w:ind w:left="646" w:hanging="289"/>
        <w:jc w:val="both"/>
        <w:rPr>
          <w:b/>
          <w:bCs/>
          <w:lang w:val="en-GB"/>
        </w:rPr>
      </w:pPr>
      <w:r w:rsidRPr="0000169A">
        <w:rPr>
          <w:b/>
          <w:bCs/>
          <w:lang w:val="en-GB"/>
        </w:rPr>
        <w:t>Total population covered</w:t>
      </w:r>
      <w:r w:rsidR="00957737" w:rsidRPr="0000169A">
        <w:rPr>
          <w:lang w:val="en-GB"/>
        </w:rPr>
        <w:t>:</w:t>
      </w:r>
      <w:r w:rsidR="00957737" w:rsidRPr="0000169A">
        <w:rPr>
          <w:b/>
          <w:bCs/>
          <w:lang w:val="en-GB"/>
        </w:rPr>
        <w:t xml:space="preserve"> </w:t>
      </w:r>
      <w:r w:rsidRPr="0000169A">
        <w:rPr>
          <w:lang w:val="en-GB"/>
        </w:rPr>
        <w:t>This is the population covered by the program for each year. The tool will base all calculations such as projections of services, numbers of H</w:t>
      </w:r>
      <w:r w:rsidR="00211549" w:rsidRPr="0000169A">
        <w:rPr>
          <w:lang w:val="en-GB"/>
        </w:rPr>
        <w:t xml:space="preserve">ealth </w:t>
      </w:r>
      <w:r w:rsidRPr="0000169A">
        <w:rPr>
          <w:lang w:val="en-GB"/>
        </w:rPr>
        <w:t>C</w:t>
      </w:r>
      <w:r w:rsidR="00211549" w:rsidRPr="0000169A">
        <w:rPr>
          <w:lang w:val="en-GB"/>
        </w:rPr>
        <w:t>are Worker</w:t>
      </w:r>
      <w:r w:rsidRPr="0000169A">
        <w:rPr>
          <w:lang w:val="en-GB"/>
        </w:rPr>
        <w:t>s</w:t>
      </w:r>
      <w:r w:rsidR="00211549" w:rsidRPr="0000169A">
        <w:rPr>
          <w:lang w:val="en-GB"/>
        </w:rPr>
        <w:t xml:space="preserve"> (HCW)</w:t>
      </w:r>
      <w:r w:rsidRPr="0000169A">
        <w:rPr>
          <w:lang w:val="en-GB"/>
        </w:rPr>
        <w:t xml:space="preserve"> required per population, etc. using these figures. Double-check to ensure they are correct and logical based on your program's scale-up plan.</w:t>
      </w:r>
    </w:p>
    <w:p w14:paraId="28670D5E" w14:textId="136905A6" w:rsidR="008837CA" w:rsidRPr="0000169A" w:rsidRDefault="00300DAB" w:rsidP="00332D39">
      <w:pPr>
        <w:pStyle w:val="ListParagraph"/>
        <w:numPr>
          <w:ilvl w:val="0"/>
          <w:numId w:val="23"/>
        </w:numPr>
        <w:ind w:left="646" w:hanging="289"/>
        <w:jc w:val="both"/>
        <w:rPr>
          <w:b/>
          <w:bCs/>
          <w:lang w:val="en-GB"/>
        </w:rPr>
      </w:pPr>
      <w:r w:rsidRPr="0000169A">
        <w:rPr>
          <w:b/>
          <w:bCs/>
          <w:lang w:val="en-GB"/>
        </w:rPr>
        <w:t>Number of health system levels</w:t>
      </w:r>
      <w:r w:rsidR="00CE41AA" w:rsidRPr="0000169A">
        <w:rPr>
          <w:lang w:val="en-GB"/>
        </w:rPr>
        <w:t xml:space="preserve">: </w:t>
      </w:r>
      <w:r w:rsidRPr="0000169A">
        <w:rPr>
          <w:lang w:val="en-GB"/>
        </w:rPr>
        <w:t xml:space="preserve">Input the number of health </w:t>
      </w:r>
      <w:r w:rsidR="0075611D" w:rsidRPr="0000169A">
        <w:rPr>
          <w:lang w:val="en-GB"/>
        </w:rPr>
        <w:t xml:space="preserve">administrative </w:t>
      </w:r>
      <w:r w:rsidRPr="0000169A">
        <w:rPr>
          <w:lang w:val="en-GB"/>
        </w:rPr>
        <w:t xml:space="preserve">levels that will be implementing the program. The assumptions for the baseline year will be read in automatically into </w:t>
      </w:r>
      <w:r w:rsidR="00332D39" w:rsidRPr="0000169A">
        <w:rPr>
          <w:lang w:val="en-GB"/>
        </w:rPr>
        <w:t>(C</w:t>
      </w:r>
      <w:r w:rsidRPr="0000169A">
        <w:rPr>
          <w:lang w:val="en-GB"/>
        </w:rPr>
        <w:t>olumn C</w:t>
      </w:r>
      <w:r w:rsidR="00332D39" w:rsidRPr="0000169A">
        <w:rPr>
          <w:lang w:val="en-GB"/>
        </w:rPr>
        <w:t>)</w:t>
      </w:r>
      <w:r w:rsidRPr="0000169A">
        <w:rPr>
          <w:lang w:val="en-GB"/>
        </w:rPr>
        <w:t>.</w:t>
      </w:r>
    </w:p>
    <w:p w14:paraId="3CEC0540" w14:textId="518E7F02" w:rsidR="006320C1" w:rsidRDefault="00916410" w:rsidP="007511B7">
      <w:pPr>
        <w:pStyle w:val="Heading1"/>
        <w:spacing w:after="240"/>
        <w:rPr>
          <w:lang w:val="en-GB"/>
        </w:rPr>
      </w:pPr>
      <w:r>
        <w:rPr>
          <w:lang w:val="en-GB"/>
        </w:rPr>
        <w:t>5</w:t>
      </w:r>
      <w:r w:rsidR="001678D0" w:rsidRPr="0000169A">
        <w:rPr>
          <w:lang w:val="en-GB"/>
        </w:rPr>
        <w:t xml:space="preserve">. </w:t>
      </w:r>
      <w:r w:rsidR="007511B7" w:rsidRPr="0000169A">
        <w:rPr>
          <w:lang w:val="en-GB"/>
        </w:rPr>
        <w:t>Package of Services</w:t>
      </w:r>
      <w:r w:rsidR="00460AFC" w:rsidRPr="0000169A">
        <w:rPr>
          <w:lang w:val="en-GB"/>
        </w:rPr>
        <w:t xml:space="preserve"> (</w:t>
      </w:r>
      <w:r w:rsidR="007511B7" w:rsidRPr="0000169A">
        <w:rPr>
          <w:lang w:val="en-GB"/>
        </w:rPr>
        <w:t>SERVICES</w:t>
      </w:r>
      <w:r w:rsidR="00460AFC" w:rsidRPr="0000169A">
        <w:rPr>
          <w:lang w:val="en-GB"/>
        </w:rPr>
        <w:t>)</w:t>
      </w:r>
    </w:p>
    <w:tbl>
      <w:tblPr>
        <w:tblStyle w:val="TableGrid"/>
        <w:tblW w:w="0" w:type="auto"/>
        <w:tblBorders>
          <w:insideV w:val="single" w:sz="4" w:space="0" w:color="A6A6A6" w:themeColor="background1" w:themeShade="A6"/>
        </w:tblBorders>
        <w:tblLook w:val="04A0" w:firstRow="1" w:lastRow="0" w:firstColumn="1" w:lastColumn="0" w:noHBand="0" w:noVBand="1"/>
      </w:tblPr>
      <w:tblGrid>
        <w:gridCol w:w="1345"/>
        <w:gridCol w:w="1890"/>
        <w:gridCol w:w="1054"/>
        <w:gridCol w:w="2366"/>
      </w:tblGrid>
      <w:tr w:rsidR="0000169A" w:rsidRPr="0000169A" w14:paraId="5DB7FD4D" w14:textId="704CC0B9" w:rsidTr="0000169A">
        <w:tc>
          <w:tcPr>
            <w:tcW w:w="1345" w:type="dxa"/>
            <w:shd w:val="clear" w:color="auto" w:fill="385623" w:themeFill="accent6" w:themeFillShade="80"/>
          </w:tcPr>
          <w:p w14:paraId="70FE320A" w14:textId="7B9FCB6A" w:rsidR="0000169A" w:rsidRPr="0000169A" w:rsidRDefault="0000169A" w:rsidP="00E838C8">
            <w:pPr>
              <w:rPr>
                <w:rFonts w:cs="TT267t00"/>
                <w:color w:val="FFFFFF" w:themeColor="background1"/>
              </w:rPr>
            </w:pPr>
            <w:r>
              <w:rPr>
                <w:rFonts w:cs="TT267t00"/>
                <w:smallCaps/>
                <w:color w:val="FFFFFF" w:themeColor="background1"/>
              </w:rPr>
              <w:t>SERVICES</w:t>
            </w:r>
            <w:r w:rsidRPr="0000169A">
              <w:rPr>
                <w:rFonts w:cs="TT267t00"/>
                <w:color w:val="FFFFFF" w:themeColor="background1"/>
              </w:rPr>
              <w:t xml:space="preserve"> -&gt;</w:t>
            </w:r>
          </w:p>
        </w:tc>
        <w:tc>
          <w:tcPr>
            <w:tcW w:w="1890" w:type="dxa"/>
            <w:shd w:val="clear" w:color="auto" w:fill="385623" w:themeFill="accent6" w:themeFillShade="80"/>
          </w:tcPr>
          <w:p w14:paraId="62D296E0" w14:textId="7E04B92C" w:rsidR="0000169A" w:rsidRPr="0000169A" w:rsidRDefault="0000169A" w:rsidP="00E838C8">
            <w:pPr>
              <w:rPr>
                <w:rFonts w:cs="TT267t00"/>
                <w:color w:val="FFFFFF" w:themeColor="background1"/>
              </w:rPr>
            </w:pPr>
            <w:r>
              <w:rPr>
                <w:rFonts w:cs="TT267t00"/>
                <w:color w:val="FFFFFF" w:themeColor="background1"/>
              </w:rPr>
              <w:t>Package_Services</w:t>
            </w:r>
          </w:p>
        </w:tc>
        <w:tc>
          <w:tcPr>
            <w:tcW w:w="1054" w:type="dxa"/>
            <w:shd w:val="clear" w:color="auto" w:fill="385623" w:themeFill="accent6" w:themeFillShade="80"/>
          </w:tcPr>
          <w:p w14:paraId="43F30949" w14:textId="01EC276E" w:rsidR="0000169A" w:rsidRPr="0000169A" w:rsidRDefault="0000169A" w:rsidP="00E838C8">
            <w:pPr>
              <w:rPr>
                <w:rFonts w:cs="TT267t00"/>
                <w:color w:val="FFFFFF" w:themeColor="background1"/>
              </w:rPr>
            </w:pPr>
            <w:r>
              <w:rPr>
                <w:rFonts w:cs="TT267t00"/>
                <w:color w:val="FFFFFF" w:themeColor="background1"/>
              </w:rPr>
              <w:t>Coverage</w:t>
            </w:r>
          </w:p>
        </w:tc>
        <w:tc>
          <w:tcPr>
            <w:tcW w:w="2366" w:type="dxa"/>
            <w:shd w:val="clear" w:color="auto" w:fill="385623" w:themeFill="accent6" w:themeFillShade="80"/>
          </w:tcPr>
          <w:p w14:paraId="4B8A6301" w14:textId="6DCB05CF" w:rsidR="0000169A" w:rsidRPr="0000169A" w:rsidRDefault="0000169A" w:rsidP="00E838C8">
            <w:pPr>
              <w:rPr>
                <w:rFonts w:cs="TT267t00"/>
                <w:color w:val="FFFFFF" w:themeColor="background1"/>
              </w:rPr>
            </w:pPr>
            <w:r>
              <w:rPr>
                <w:rFonts w:cs="TT267t00"/>
                <w:color w:val="FFFFFF" w:themeColor="background1"/>
              </w:rPr>
              <w:t>Treatment_Guidelines</w:t>
            </w:r>
          </w:p>
        </w:tc>
      </w:tr>
    </w:tbl>
    <w:p w14:paraId="5B46FF46" w14:textId="77777777" w:rsidR="0000169A" w:rsidRDefault="0000169A" w:rsidP="0000169A">
      <w:pPr>
        <w:spacing w:after="0"/>
        <w:rPr>
          <w:rStyle w:val="IntenseReference"/>
          <w:b w:val="0"/>
          <w:bCs w:val="0"/>
          <w:lang w:val="en-GB"/>
        </w:rPr>
      </w:pPr>
    </w:p>
    <w:p w14:paraId="4DFFBE87" w14:textId="63A489A5" w:rsidR="001678D0" w:rsidRPr="0000169A" w:rsidRDefault="00916410" w:rsidP="005E1430">
      <w:pPr>
        <w:rPr>
          <w:rStyle w:val="IntenseReference"/>
          <w:b w:val="0"/>
          <w:bCs w:val="0"/>
          <w:lang w:val="en-GB"/>
        </w:rPr>
      </w:pPr>
      <w:r>
        <w:rPr>
          <w:rStyle w:val="IntenseReference"/>
          <w:b w:val="0"/>
          <w:bCs w:val="0"/>
          <w:lang w:val="en-GB"/>
        </w:rPr>
        <w:t>5</w:t>
      </w:r>
      <w:r w:rsidR="00282C28" w:rsidRPr="0000169A">
        <w:rPr>
          <w:rStyle w:val="IntenseReference"/>
          <w:b w:val="0"/>
          <w:bCs w:val="0"/>
          <w:lang w:val="en-GB"/>
        </w:rPr>
        <w:t xml:space="preserve">.1. </w:t>
      </w:r>
      <w:r w:rsidR="00E911C2" w:rsidRPr="0000169A">
        <w:rPr>
          <w:rStyle w:val="IntenseReference"/>
          <w:b w:val="0"/>
          <w:bCs w:val="0"/>
          <w:lang w:val="en-GB"/>
        </w:rPr>
        <w:t>package of service</w:t>
      </w:r>
    </w:p>
    <w:p w14:paraId="504E0159" w14:textId="03DEDCB9" w:rsidR="00E911C2" w:rsidRPr="0000169A" w:rsidRDefault="007511B7" w:rsidP="00E911C2">
      <w:pPr>
        <w:rPr>
          <w:rFonts w:cs="TT267t00"/>
          <w:lang w:val="en-GB"/>
        </w:rPr>
      </w:pPr>
      <w:r w:rsidRPr="0000169A">
        <w:rPr>
          <w:rFonts w:cs="TT267t00"/>
          <w:lang w:val="en-GB"/>
        </w:rPr>
        <w:t>List all services and interventions that will be provided</w:t>
      </w:r>
      <w:r w:rsidR="00332D39" w:rsidRPr="0000169A">
        <w:rPr>
          <w:rFonts w:cs="TT267t00"/>
          <w:lang w:val="en-GB"/>
        </w:rPr>
        <w:t xml:space="preserve"> </w:t>
      </w:r>
      <w:r w:rsidR="00332D39" w:rsidRPr="0000169A">
        <w:rPr>
          <w:rFonts w:cs="TT267t00"/>
          <w:i/>
          <w:iCs/>
          <w:lang w:val="en-GB"/>
        </w:rPr>
        <w:t>(Column</w:t>
      </w:r>
      <w:r w:rsidR="0075611D" w:rsidRPr="0000169A">
        <w:rPr>
          <w:rFonts w:cs="TT267t00"/>
          <w:i/>
          <w:iCs/>
          <w:lang w:val="en-GB"/>
        </w:rPr>
        <w:t xml:space="preserve"> B</w:t>
      </w:r>
      <w:r w:rsidR="00332D39" w:rsidRPr="0000169A">
        <w:rPr>
          <w:rFonts w:cs="TT267t00"/>
          <w:i/>
          <w:iCs/>
          <w:lang w:val="en-GB"/>
        </w:rPr>
        <w:t>)</w:t>
      </w:r>
      <w:r w:rsidRPr="0000169A">
        <w:rPr>
          <w:rFonts w:cs="TT267t00"/>
          <w:i/>
          <w:iCs/>
          <w:lang w:val="en-GB"/>
        </w:rPr>
        <w:t>.</w:t>
      </w:r>
      <w:r w:rsidRPr="0000169A">
        <w:rPr>
          <w:rFonts w:cs="TT267t00"/>
          <w:lang w:val="en-GB"/>
        </w:rPr>
        <w:t xml:space="preserve"> This should include the full range of services, from preventive interventions to curative services, to promotional services. Regular administrative tasks can also be included. Input the expected utilization rate for each service</w:t>
      </w:r>
      <w:r w:rsidR="00332D39" w:rsidRPr="0000169A">
        <w:rPr>
          <w:rFonts w:cs="TT267t00"/>
          <w:lang w:val="en-GB"/>
        </w:rPr>
        <w:t xml:space="preserve"> </w:t>
      </w:r>
      <w:r w:rsidR="00332D39" w:rsidRPr="0000169A">
        <w:rPr>
          <w:rFonts w:cs="TT267t00"/>
          <w:i/>
          <w:iCs/>
          <w:lang w:val="en-GB"/>
        </w:rPr>
        <w:t xml:space="preserve">(Column </w:t>
      </w:r>
      <w:r w:rsidR="0075611D" w:rsidRPr="0000169A">
        <w:rPr>
          <w:rFonts w:cs="TT267t00"/>
          <w:i/>
          <w:iCs/>
          <w:lang w:val="en-GB"/>
        </w:rPr>
        <w:t>G</w:t>
      </w:r>
      <w:r w:rsidR="00332D39" w:rsidRPr="0000169A">
        <w:rPr>
          <w:rFonts w:cs="TT267t00"/>
          <w:i/>
          <w:iCs/>
          <w:lang w:val="en-GB"/>
        </w:rPr>
        <w:t>)</w:t>
      </w:r>
      <w:r w:rsidRPr="0000169A">
        <w:rPr>
          <w:rFonts w:cs="TT267t00"/>
          <w:lang w:val="en-GB"/>
        </w:rPr>
        <w:t xml:space="preserve">. This rate should be expressed as the number of expected episodes per target population per year. The rate must be related directly to the target population selected. </w:t>
      </w:r>
    </w:p>
    <w:p w14:paraId="3C7CA540" w14:textId="65D18C0A" w:rsidR="001F50A3" w:rsidRPr="0000169A" w:rsidRDefault="00916410" w:rsidP="00E911C2">
      <w:pPr>
        <w:rPr>
          <w:rStyle w:val="IntenseReference"/>
          <w:b w:val="0"/>
          <w:bCs w:val="0"/>
          <w:lang w:val="en-GB"/>
        </w:rPr>
      </w:pPr>
      <w:r>
        <w:rPr>
          <w:rStyle w:val="IntenseReference"/>
          <w:b w:val="0"/>
          <w:bCs w:val="0"/>
          <w:lang w:val="en-GB"/>
        </w:rPr>
        <w:t>5</w:t>
      </w:r>
      <w:r w:rsidR="00E911C2" w:rsidRPr="0000169A">
        <w:rPr>
          <w:rStyle w:val="IntenseReference"/>
          <w:b w:val="0"/>
          <w:bCs w:val="0"/>
          <w:lang w:val="en-GB"/>
        </w:rPr>
        <w:t>.2. coverage</w:t>
      </w:r>
    </w:p>
    <w:p w14:paraId="42769764" w14:textId="49DB4357" w:rsidR="001F50A3" w:rsidRPr="0000169A" w:rsidRDefault="001F50A3" w:rsidP="00E911C2">
      <w:pPr>
        <w:rPr>
          <w:rFonts w:cs="TT267t00"/>
          <w:lang w:val="en-GB"/>
        </w:rPr>
      </w:pPr>
      <w:r w:rsidRPr="0000169A">
        <w:rPr>
          <w:rFonts w:cs="TT267t00"/>
          <w:lang w:val="en-GB"/>
        </w:rPr>
        <w:t xml:space="preserve">Coverage is calculated as the actual number of services divided by expected number of services (Column C divided by Column D). If Coverage exceeds 100%, double-check that the target population and incidence rates have been entered correctly on the </w:t>
      </w:r>
      <w:proofErr w:type="spellStart"/>
      <w:r w:rsidRPr="0000169A">
        <w:rPr>
          <w:rFonts w:cs="TT267t00"/>
          <w:i/>
          <w:iCs/>
          <w:lang w:val="en-GB"/>
        </w:rPr>
        <w:t>Package_Service</w:t>
      </w:r>
      <w:proofErr w:type="spellEnd"/>
      <w:r w:rsidRPr="0000169A">
        <w:rPr>
          <w:rFonts w:cs="TT267t00"/>
          <w:lang w:val="en-GB"/>
        </w:rPr>
        <w:t xml:space="preserve"> worksheet. If baseline coverage is unknown, include an estimate or leave as zero.</w:t>
      </w:r>
    </w:p>
    <w:p w14:paraId="008E5DE0" w14:textId="2AFDEE2A" w:rsidR="001F50A3" w:rsidRPr="0000169A" w:rsidRDefault="00916410" w:rsidP="001F50A3">
      <w:pPr>
        <w:rPr>
          <w:smallCaps/>
          <w:color w:val="4472C4" w:themeColor="accent1"/>
          <w:spacing w:val="5"/>
          <w:lang w:val="en-GB"/>
        </w:rPr>
      </w:pPr>
      <w:r>
        <w:rPr>
          <w:rStyle w:val="IntenseReference"/>
          <w:b w:val="0"/>
          <w:bCs w:val="0"/>
          <w:lang w:val="en-GB"/>
        </w:rPr>
        <w:t>5</w:t>
      </w:r>
      <w:r w:rsidR="001F50A3" w:rsidRPr="0000169A">
        <w:rPr>
          <w:rStyle w:val="IntenseReference"/>
          <w:b w:val="0"/>
          <w:bCs w:val="0"/>
          <w:lang w:val="en-GB"/>
        </w:rPr>
        <w:t>.3. standard treatment guidelines</w:t>
      </w:r>
    </w:p>
    <w:p w14:paraId="53B2D355" w14:textId="280C2258" w:rsidR="001F50A3" w:rsidRPr="0000169A" w:rsidRDefault="001F50A3" w:rsidP="00E055E6">
      <w:pPr>
        <w:pStyle w:val="ListParagraph"/>
        <w:numPr>
          <w:ilvl w:val="0"/>
          <w:numId w:val="10"/>
        </w:numPr>
        <w:ind w:left="709"/>
        <w:rPr>
          <w:rFonts w:cs="TT267t00"/>
          <w:lang w:val="en-GB"/>
        </w:rPr>
      </w:pPr>
      <w:r w:rsidRPr="0000169A">
        <w:rPr>
          <w:rFonts w:cs="TT267t00"/>
          <w:lang w:val="en-GB"/>
        </w:rPr>
        <w:t>Input the time required, in minutes or hours, to provide the service. This time includes the initial visit (</w:t>
      </w:r>
      <w:r w:rsidR="00211549" w:rsidRPr="0000169A">
        <w:rPr>
          <w:rFonts w:cs="TT267t00"/>
          <w:lang w:val="en-GB"/>
        </w:rPr>
        <w:t>screening, diagnosis,</w:t>
      </w:r>
      <w:r w:rsidRPr="0000169A">
        <w:rPr>
          <w:rFonts w:cs="TT267t00"/>
          <w:lang w:val="en-GB"/>
        </w:rPr>
        <w:t xml:space="preserve"> and initial treatment) as well as the time it takes for a follow-up, if applicable.</w:t>
      </w:r>
    </w:p>
    <w:p w14:paraId="708D7272" w14:textId="2E846BEA" w:rsidR="00211549" w:rsidRPr="0000169A" w:rsidRDefault="00211549" w:rsidP="00E055E6">
      <w:pPr>
        <w:pStyle w:val="ListParagraph"/>
        <w:numPr>
          <w:ilvl w:val="0"/>
          <w:numId w:val="10"/>
        </w:numPr>
        <w:ind w:left="709"/>
        <w:rPr>
          <w:rFonts w:cs="TT267t00"/>
          <w:i/>
          <w:iCs/>
          <w:lang w:val="en-GB"/>
        </w:rPr>
      </w:pPr>
      <w:r w:rsidRPr="0000169A">
        <w:rPr>
          <w:rFonts w:cs="TT267t00"/>
          <w:lang w:val="en-GB"/>
        </w:rPr>
        <w:t xml:space="preserve">Select assistive product or supply used to provide the service using the drop-down menu in </w:t>
      </w:r>
      <w:r w:rsidR="0075611D" w:rsidRPr="0000169A">
        <w:rPr>
          <w:rFonts w:cs="TT267t00"/>
          <w:i/>
          <w:iCs/>
          <w:lang w:val="en-GB"/>
        </w:rPr>
        <w:t>C</w:t>
      </w:r>
      <w:r w:rsidRPr="0000169A">
        <w:rPr>
          <w:rFonts w:cs="TT267t00"/>
          <w:i/>
          <w:iCs/>
          <w:lang w:val="en-GB"/>
        </w:rPr>
        <w:t>olumn B.</w:t>
      </w:r>
    </w:p>
    <w:p w14:paraId="03A2C3DF" w14:textId="59E3B5EE" w:rsidR="00211549" w:rsidRDefault="00211549" w:rsidP="00E055E6">
      <w:pPr>
        <w:pStyle w:val="ListParagraph"/>
        <w:numPr>
          <w:ilvl w:val="0"/>
          <w:numId w:val="10"/>
        </w:numPr>
        <w:ind w:left="709"/>
        <w:rPr>
          <w:rFonts w:cs="TT267t00"/>
          <w:lang w:val="en-GB"/>
        </w:rPr>
      </w:pPr>
      <w:r w:rsidRPr="0000169A">
        <w:rPr>
          <w:rFonts w:cs="TT267t00"/>
          <w:lang w:val="en-GB"/>
        </w:rPr>
        <w:t xml:space="preserve">Input the units. This should correspond with the cost per unit input on the </w:t>
      </w:r>
      <w:proofErr w:type="spellStart"/>
      <w:r w:rsidRPr="0000169A">
        <w:rPr>
          <w:rFonts w:cs="TT267t00"/>
          <w:i/>
          <w:iCs/>
          <w:lang w:val="en-GB"/>
        </w:rPr>
        <w:t>Assistive_Products_Costs</w:t>
      </w:r>
      <w:proofErr w:type="spellEnd"/>
      <w:r w:rsidRPr="0000169A">
        <w:rPr>
          <w:rFonts w:cs="TT267t00"/>
          <w:lang w:val="en-GB"/>
        </w:rPr>
        <w:t xml:space="preserve"> worksheet.</w:t>
      </w:r>
    </w:p>
    <w:p w14:paraId="0FC76359" w14:textId="77777777" w:rsidR="00916410" w:rsidRPr="00916410" w:rsidRDefault="00916410" w:rsidP="00916410">
      <w:pPr>
        <w:rPr>
          <w:rFonts w:cs="TT267t00"/>
          <w:lang w:val="en-GB"/>
        </w:rPr>
      </w:pPr>
    </w:p>
    <w:p w14:paraId="7B545B2A" w14:textId="1265791B" w:rsidR="00211549" w:rsidRDefault="00916410" w:rsidP="00211549">
      <w:pPr>
        <w:pStyle w:val="Heading1"/>
        <w:spacing w:after="240"/>
        <w:rPr>
          <w:lang w:val="en-GB"/>
        </w:rPr>
      </w:pPr>
      <w:r>
        <w:rPr>
          <w:lang w:val="en-GB"/>
        </w:rPr>
        <w:lastRenderedPageBreak/>
        <w:t>6</w:t>
      </w:r>
      <w:r w:rsidR="00211549" w:rsidRPr="0000169A">
        <w:rPr>
          <w:lang w:val="en-GB"/>
        </w:rPr>
        <w:t>. Cost Categories (Cost Categories)</w:t>
      </w:r>
    </w:p>
    <w:tbl>
      <w:tblPr>
        <w:tblStyle w:val="TableGrid"/>
        <w:tblW w:w="0" w:type="auto"/>
        <w:tblBorders>
          <w:insideH w:val="single" w:sz="4" w:space="0" w:color="A6A6A6" w:themeColor="background1" w:themeShade="A6"/>
          <w:insideV w:val="single" w:sz="4" w:space="0" w:color="7F7F7F" w:themeColor="text1" w:themeTint="80"/>
        </w:tblBorders>
        <w:tblLook w:val="04A0" w:firstRow="1" w:lastRow="0" w:firstColumn="1" w:lastColumn="0" w:noHBand="0" w:noVBand="1"/>
      </w:tblPr>
      <w:tblGrid>
        <w:gridCol w:w="2151"/>
        <w:gridCol w:w="1220"/>
        <w:gridCol w:w="1124"/>
        <w:gridCol w:w="1260"/>
        <w:gridCol w:w="2520"/>
      </w:tblGrid>
      <w:tr w:rsidR="0000169A" w:rsidRPr="0000169A" w14:paraId="20E23758" w14:textId="0661F0C1" w:rsidTr="0000169A">
        <w:tc>
          <w:tcPr>
            <w:tcW w:w="2151" w:type="dxa"/>
            <w:shd w:val="clear" w:color="auto" w:fill="D9E2F3" w:themeFill="accent1" w:themeFillTint="33"/>
          </w:tcPr>
          <w:p w14:paraId="488F1E3A" w14:textId="3F7505AD" w:rsidR="0000169A" w:rsidRPr="0000169A" w:rsidRDefault="0000169A" w:rsidP="00E838C8">
            <w:pPr>
              <w:rPr>
                <w:rFonts w:cs="TT267t00"/>
                <w:color w:val="000000" w:themeColor="text1"/>
              </w:rPr>
            </w:pPr>
            <w:r w:rsidRPr="0000169A">
              <w:rPr>
                <w:rFonts w:cs="TT267t00"/>
                <w:smallCaps/>
                <w:color w:val="000000" w:themeColor="text1"/>
              </w:rPr>
              <w:t>COST CATEGORIES</w:t>
            </w:r>
            <w:r w:rsidRPr="0000169A">
              <w:rPr>
                <w:rFonts w:cs="TT267t00"/>
                <w:color w:val="000000" w:themeColor="text1"/>
              </w:rPr>
              <w:t>-&gt;</w:t>
            </w:r>
          </w:p>
        </w:tc>
        <w:tc>
          <w:tcPr>
            <w:tcW w:w="1220" w:type="dxa"/>
            <w:shd w:val="clear" w:color="auto" w:fill="D9E2F3" w:themeFill="accent1" w:themeFillTint="33"/>
          </w:tcPr>
          <w:p w14:paraId="3587709C" w14:textId="411F27C6" w:rsidR="0000169A" w:rsidRPr="0000169A" w:rsidRDefault="0000169A" w:rsidP="00E838C8">
            <w:pPr>
              <w:rPr>
                <w:rFonts w:cs="TT267t00"/>
                <w:color w:val="000000" w:themeColor="text1"/>
              </w:rPr>
            </w:pPr>
            <w:proofErr w:type="spellStart"/>
            <w:r w:rsidRPr="0000169A">
              <w:rPr>
                <w:rFonts w:cs="TT267t00"/>
                <w:color w:val="000000" w:themeColor="text1"/>
              </w:rPr>
              <w:t>Staff_Costs</w:t>
            </w:r>
            <w:proofErr w:type="spellEnd"/>
          </w:p>
        </w:tc>
        <w:tc>
          <w:tcPr>
            <w:tcW w:w="1124" w:type="dxa"/>
            <w:shd w:val="clear" w:color="auto" w:fill="D9E2F3" w:themeFill="accent1" w:themeFillTint="33"/>
          </w:tcPr>
          <w:p w14:paraId="27F7ECD6" w14:textId="571A0AB4" w:rsidR="0000169A" w:rsidRPr="0000169A" w:rsidRDefault="0000169A" w:rsidP="00E838C8">
            <w:pPr>
              <w:rPr>
                <w:rFonts w:cs="TT267t00"/>
                <w:color w:val="000000" w:themeColor="text1"/>
              </w:rPr>
            </w:pPr>
            <w:r w:rsidRPr="0000169A">
              <w:rPr>
                <w:rFonts w:cs="TT267t00"/>
                <w:color w:val="000000" w:themeColor="text1"/>
              </w:rPr>
              <w:t>Training</w:t>
            </w:r>
          </w:p>
        </w:tc>
        <w:tc>
          <w:tcPr>
            <w:tcW w:w="1260" w:type="dxa"/>
            <w:shd w:val="clear" w:color="auto" w:fill="D9E2F3" w:themeFill="accent1" w:themeFillTint="33"/>
          </w:tcPr>
          <w:p w14:paraId="6D459140" w14:textId="3C341723" w:rsidR="0000169A" w:rsidRPr="0000169A" w:rsidRDefault="0000169A" w:rsidP="00E838C8">
            <w:pPr>
              <w:rPr>
                <w:rFonts w:cs="TT267t00"/>
                <w:color w:val="000000" w:themeColor="text1"/>
              </w:rPr>
            </w:pPr>
            <w:r w:rsidRPr="0000169A">
              <w:rPr>
                <w:rFonts w:cs="TT267t00"/>
                <w:color w:val="000000" w:themeColor="text1"/>
              </w:rPr>
              <w:t>Equipment</w:t>
            </w:r>
          </w:p>
        </w:tc>
        <w:tc>
          <w:tcPr>
            <w:tcW w:w="2520" w:type="dxa"/>
            <w:shd w:val="clear" w:color="auto" w:fill="D9E2F3" w:themeFill="accent1" w:themeFillTint="33"/>
          </w:tcPr>
          <w:p w14:paraId="765DE2C5" w14:textId="2E1CE458" w:rsidR="0000169A" w:rsidRPr="0000169A" w:rsidRDefault="0000169A" w:rsidP="00E838C8">
            <w:pPr>
              <w:rPr>
                <w:rFonts w:cs="TT267t00"/>
                <w:color w:val="000000" w:themeColor="text1"/>
              </w:rPr>
            </w:pPr>
            <w:proofErr w:type="spellStart"/>
            <w:r w:rsidRPr="0000169A">
              <w:rPr>
                <w:rFonts w:cs="TT267t00"/>
                <w:color w:val="000000" w:themeColor="text1"/>
              </w:rPr>
              <w:t>Assistive_Products_Costs</w:t>
            </w:r>
            <w:proofErr w:type="spellEnd"/>
          </w:p>
        </w:tc>
      </w:tr>
    </w:tbl>
    <w:p w14:paraId="7FC1CAD4" w14:textId="1C9A2E5C" w:rsidR="0000169A" w:rsidRDefault="0000169A" w:rsidP="0000169A">
      <w:pPr>
        <w:spacing w:after="0"/>
        <w:rPr>
          <w:lang w:val="en-GB"/>
        </w:rPr>
      </w:pPr>
    </w:p>
    <w:tbl>
      <w:tblPr>
        <w:tblStyle w:val="TableGrid"/>
        <w:tblW w:w="0" w:type="auto"/>
        <w:tblBorders>
          <w:insideH w:val="single" w:sz="4" w:space="0" w:color="A6A6A6" w:themeColor="background1" w:themeShade="A6"/>
          <w:insideV w:val="single" w:sz="4" w:space="0" w:color="7F7F7F" w:themeColor="text1" w:themeTint="80"/>
        </w:tblBorders>
        <w:tblLook w:val="04A0" w:firstRow="1" w:lastRow="0" w:firstColumn="1" w:lastColumn="0" w:noHBand="0" w:noVBand="1"/>
      </w:tblPr>
      <w:tblGrid>
        <w:gridCol w:w="2407"/>
        <w:gridCol w:w="2358"/>
        <w:gridCol w:w="1080"/>
      </w:tblGrid>
      <w:tr w:rsidR="0000169A" w:rsidRPr="0000169A" w14:paraId="6AA6ECA6" w14:textId="77777777" w:rsidTr="0000169A">
        <w:tc>
          <w:tcPr>
            <w:tcW w:w="2407" w:type="dxa"/>
            <w:shd w:val="clear" w:color="auto" w:fill="D9E2F3" w:themeFill="accent1" w:themeFillTint="33"/>
          </w:tcPr>
          <w:p w14:paraId="7E1D8902" w14:textId="4C7FDCFE" w:rsidR="0000169A" w:rsidRPr="0000169A" w:rsidRDefault="0000169A" w:rsidP="0000169A">
            <w:pPr>
              <w:rPr>
                <w:rFonts w:cs="TT267t00"/>
                <w:color w:val="000000" w:themeColor="text1"/>
              </w:rPr>
            </w:pPr>
            <w:proofErr w:type="spellStart"/>
            <w:r>
              <w:rPr>
                <w:rFonts w:cs="TT267t00"/>
                <w:color w:val="000000" w:themeColor="text1"/>
              </w:rPr>
              <w:t>Other_Recurrent_Costs</w:t>
            </w:r>
            <w:proofErr w:type="spellEnd"/>
          </w:p>
        </w:tc>
        <w:tc>
          <w:tcPr>
            <w:tcW w:w="2358" w:type="dxa"/>
            <w:shd w:val="clear" w:color="auto" w:fill="D9E2F3" w:themeFill="accent1" w:themeFillTint="33"/>
          </w:tcPr>
          <w:p w14:paraId="4E1DFED2" w14:textId="46ACA7BE" w:rsidR="0000169A" w:rsidRPr="0000169A" w:rsidRDefault="0000169A" w:rsidP="0000169A">
            <w:pPr>
              <w:rPr>
                <w:rFonts w:cs="TT267t00"/>
                <w:color w:val="000000" w:themeColor="text1"/>
              </w:rPr>
            </w:pPr>
            <w:proofErr w:type="spellStart"/>
            <w:r>
              <w:rPr>
                <w:rFonts w:cs="TT267t00"/>
                <w:color w:val="000000" w:themeColor="text1"/>
              </w:rPr>
              <w:t>Start_Up_Capital_Costs</w:t>
            </w:r>
            <w:proofErr w:type="spellEnd"/>
          </w:p>
        </w:tc>
        <w:tc>
          <w:tcPr>
            <w:tcW w:w="1080" w:type="dxa"/>
            <w:shd w:val="clear" w:color="auto" w:fill="D9E2F3" w:themeFill="accent1" w:themeFillTint="33"/>
          </w:tcPr>
          <w:p w14:paraId="6FC5AA1C" w14:textId="6BC78621" w:rsidR="0000169A" w:rsidRPr="0000169A" w:rsidRDefault="0000169A" w:rsidP="0000169A">
            <w:pPr>
              <w:rPr>
                <w:rFonts w:cs="TT267t00"/>
                <w:color w:val="000000" w:themeColor="text1"/>
              </w:rPr>
            </w:pPr>
            <w:r>
              <w:rPr>
                <w:rFonts w:cs="TT267t00"/>
                <w:color w:val="000000" w:themeColor="text1"/>
              </w:rPr>
              <w:t>Financing</w:t>
            </w:r>
          </w:p>
        </w:tc>
      </w:tr>
    </w:tbl>
    <w:p w14:paraId="61F138D1" w14:textId="1D111B13" w:rsidR="0000169A" w:rsidRDefault="0000169A" w:rsidP="0000169A">
      <w:pPr>
        <w:rPr>
          <w:lang w:val="en-GB"/>
        </w:rPr>
      </w:pPr>
    </w:p>
    <w:p w14:paraId="5357B7C8" w14:textId="3FFB2CA0" w:rsidR="00827D29" w:rsidRPr="0000169A" w:rsidRDefault="00916410" w:rsidP="00827D29">
      <w:pPr>
        <w:rPr>
          <w:rStyle w:val="IntenseReference"/>
          <w:b w:val="0"/>
          <w:bCs w:val="0"/>
          <w:lang w:val="en-GB"/>
        </w:rPr>
      </w:pPr>
      <w:r>
        <w:rPr>
          <w:rStyle w:val="IntenseReference"/>
          <w:b w:val="0"/>
          <w:bCs w:val="0"/>
          <w:lang w:val="en-GB"/>
        </w:rPr>
        <w:t>6</w:t>
      </w:r>
      <w:r w:rsidR="00827D29" w:rsidRPr="0000169A">
        <w:rPr>
          <w:rStyle w:val="IntenseReference"/>
          <w:b w:val="0"/>
          <w:bCs w:val="0"/>
          <w:lang w:val="en-GB"/>
        </w:rPr>
        <w:t>.1. staff costs</w:t>
      </w:r>
    </w:p>
    <w:p w14:paraId="41FD54E1" w14:textId="3FF45449" w:rsidR="008F0FA4" w:rsidRPr="0000169A" w:rsidRDefault="008F0FA4" w:rsidP="008F0FA4">
      <w:pPr>
        <w:spacing w:after="0"/>
        <w:rPr>
          <w:rFonts w:cs="TT267t00"/>
          <w:lang w:val="en-GB"/>
        </w:rPr>
      </w:pPr>
      <w:r w:rsidRPr="0000169A">
        <w:rPr>
          <w:rFonts w:cs="TT267t00"/>
          <w:lang w:val="en-GB"/>
        </w:rPr>
        <w:t xml:space="preserve">All HCW information should be input into the </w:t>
      </w:r>
      <w:proofErr w:type="spellStart"/>
      <w:r w:rsidRPr="0000169A">
        <w:rPr>
          <w:rFonts w:cs="TT267t00"/>
          <w:i/>
          <w:iCs/>
          <w:lang w:val="en-GB"/>
        </w:rPr>
        <w:t>Staff_Cost</w:t>
      </w:r>
      <w:proofErr w:type="spellEnd"/>
      <w:r w:rsidRPr="0000169A">
        <w:rPr>
          <w:rFonts w:cs="TT267t00"/>
          <w:lang w:val="en-GB"/>
        </w:rPr>
        <w:t xml:space="preserve"> worksheet.</w:t>
      </w:r>
    </w:p>
    <w:p w14:paraId="29F2B153" w14:textId="24E5E9A3" w:rsidR="008F0FA4" w:rsidRPr="0000169A" w:rsidRDefault="008F0FA4" w:rsidP="008F0FA4">
      <w:pPr>
        <w:pStyle w:val="ListParagraph"/>
        <w:numPr>
          <w:ilvl w:val="0"/>
          <w:numId w:val="36"/>
        </w:numPr>
        <w:spacing w:after="0"/>
        <w:rPr>
          <w:rFonts w:cs="TT267t00"/>
          <w:lang w:val="en-GB"/>
        </w:rPr>
      </w:pPr>
      <w:r w:rsidRPr="0000169A">
        <w:rPr>
          <w:rFonts w:cs="TT267t00"/>
          <w:lang w:val="en-GB"/>
        </w:rPr>
        <w:t>Cadre</w:t>
      </w:r>
      <w:r w:rsidR="0075611D" w:rsidRPr="0000169A">
        <w:rPr>
          <w:rFonts w:cs="TT267t00"/>
          <w:lang w:val="en-GB"/>
        </w:rPr>
        <w:t xml:space="preserve"> </w:t>
      </w:r>
      <w:r w:rsidR="0075611D" w:rsidRPr="0000169A">
        <w:rPr>
          <w:rFonts w:cs="TT267t00"/>
          <w:i/>
          <w:iCs/>
          <w:lang w:val="en-GB"/>
        </w:rPr>
        <w:t>(Column D).</w:t>
      </w:r>
    </w:p>
    <w:p w14:paraId="6E04EB01" w14:textId="0C22ACF8" w:rsidR="00A1593B" w:rsidRPr="0000169A" w:rsidRDefault="00A1593B" w:rsidP="008F0FA4">
      <w:pPr>
        <w:pStyle w:val="ListParagraph"/>
        <w:numPr>
          <w:ilvl w:val="0"/>
          <w:numId w:val="36"/>
        </w:numPr>
        <w:spacing w:after="0"/>
        <w:rPr>
          <w:rFonts w:cs="TT267t00"/>
          <w:lang w:val="en-GB"/>
        </w:rPr>
      </w:pPr>
      <w:r w:rsidRPr="0000169A">
        <w:rPr>
          <w:rFonts w:cs="TT267t00"/>
          <w:lang w:val="en-GB"/>
        </w:rPr>
        <w:t>Total number of HCWs currently trained at baseline year</w:t>
      </w:r>
      <w:r w:rsidR="0075611D" w:rsidRPr="0000169A">
        <w:rPr>
          <w:rFonts w:cs="TT267t00"/>
          <w:i/>
          <w:iCs/>
          <w:lang w:val="en-GB"/>
        </w:rPr>
        <w:t xml:space="preserve"> (Column F).</w:t>
      </w:r>
    </w:p>
    <w:p w14:paraId="055EE322" w14:textId="2340E876" w:rsidR="00A1593B" w:rsidRPr="0000169A" w:rsidRDefault="00A1593B" w:rsidP="00A1593B">
      <w:pPr>
        <w:pStyle w:val="ListParagraph"/>
        <w:numPr>
          <w:ilvl w:val="0"/>
          <w:numId w:val="36"/>
        </w:numPr>
        <w:spacing w:after="0"/>
        <w:rPr>
          <w:rFonts w:cs="TT267t00"/>
          <w:lang w:val="en-GB"/>
        </w:rPr>
      </w:pPr>
      <w:r w:rsidRPr="0000169A">
        <w:rPr>
          <w:rFonts w:cs="TT267t00"/>
          <w:lang w:val="en-GB"/>
        </w:rPr>
        <w:t>Attrition rate</w:t>
      </w:r>
      <w:r w:rsidR="0075611D" w:rsidRPr="0000169A">
        <w:rPr>
          <w:rFonts w:cs="TT267t00"/>
          <w:i/>
          <w:iCs/>
          <w:lang w:val="en-GB"/>
        </w:rPr>
        <w:t xml:space="preserve"> (Column G).</w:t>
      </w:r>
    </w:p>
    <w:p w14:paraId="1B525DF2" w14:textId="29525F1E" w:rsidR="008F0FA4" w:rsidRPr="0000169A" w:rsidRDefault="008F0FA4" w:rsidP="008F0FA4">
      <w:pPr>
        <w:pStyle w:val="ListParagraph"/>
        <w:numPr>
          <w:ilvl w:val="0"/>
          <w:numId w:val="36"/>
        </w:numPr>
        <w:spacing w:after="0"/>
        <w:rPr>
          <w:rFonts w:cs="TT267t00"/>
          <w:lang w:val="en-GB"/>
        </w:rPr>
      </w:pPr>
      <w:r w:rsidRPr="0000169A">
        <w:rPr>
          <w:rFonts w:cs="TT267t00"/>
          <w:lang w:val="en-GB"/>
        </w:rPr>
        <w:t>Desired ratio per population</w:t>
      </w:r>
      <w:r w:rsidR="0075611D" w:rsidRPr="0000169A">
        <w:rPr>
          <w:rFonts w:cs="TT267t00"/>
          <w:i/>
          <w:iCs/>
          <w:lang w:val="en-GB"/>
        </w:rPr>
        <w:t xml:space="preserve"> (Column H).</w:t>
      </w:r>
    </w:p>
    <w:p w14:paraId="687C15C7" w14:textId="02FAE670" w:rsidR="008F0FA4" w:rsidRPr="0000169A" w:rsidRDefault="008F0FA4" w:rsidP="008F0FA4">
      <w:pPr>
        <w:pStyle w:val="ListParagraph"/>
        <w:numPr>
          <w:ilvl w:val="0"/>
          <w:numId w:val="36"/>
        </w:numPr>
        <w:spacing w:after="0"/>
        <w:rPr>
          <w:rFonts w:cs="TT267t00"/>
          <w:lang w:val="en-GB"/>
        </w:rPr>
      </w:pPr>
      <w:r w:rsidRPr="0000169A">
        <w:rPr>
          <w:rFonts w:cs="TT267t00"/>
          <w:lang w:val="en-GB"/>
        </w:rPr>
        <w:t>Expectation of working hours and days per year</w:t>
      </w:r>
      <w:r w:rsidR="0075611D" w:rsidRPr="0000169A">
        <w:rPr>
          <w:rFonts w:cs="TT267t00"/>
          <w:lang w:val="en-GB"/>
        </w:rPr>
        <w:t xml:space="preserve">, refer to </w:t>
      </w:r>
      <w:proofErr w:type="spellStart"/>
      <w:r w:rsidR="0075611D" w:rsidRPr="0000169A">
        <w:rPr>
          <w:rFonts w:cs="TT267t00"/>
          <w:i/>
          <w:iCs/>
          <w:lang w:val="en-GB"/>
        </w:rPr>
        <w:t>Back_Calculation</w:t>
      </w:r>
      <w:proofErr w:type="spellEnd"/>
      <w:r w:rsidR="0075611D" w:rsidRPr="0000169A">
        <w:rPr>
          <w:rFonts w:cs="TT267t00"/>
          <w:lang w:val="en-GB"/>
        </w:rPr>
        <w:t xml:space="preserve"> worksheet</w:t>
      </w:r>
      <w:r w:rsidR="0054098F" w:rsidRPr="0000169A">
        <w:rPr>
          <w:rFonts w:cs="TT267t00"/>
          <w:lang w:val="en-GB"/>
        </w:rPr>
        <w:t>.</w:t>
      </w:r>
    </w:p>
    <w:p w14:paraId="465226CA" w14:textId="4C930D86" w:rsidR="008F0FA4" w:rsidRPr="0000169A" w:rsidRDefault="008F0FA4" w:rsidP="0054098F">
      <w:pPr>
        <w:pStyle w:val="ListParagraph"/>
        <w:numPr>
          <w:ilvl w:val="0"/>
          <w:numId w:val="36"/>
        </w:numPr>
        <w:rPr>
          <w:rStyle w:val="IntenseReference"/>
          <w:rFonts w:cs="TT267t00"/>
          <w:b w:val="0"/>
          <w:bCs w:val="0"/>
          <w:smallCaps w:val="0"/>
          <w:color w:val="auto"/>
          <w:spacing w:val="0"/>
          <w:lang w:val="en-GB"/>
        </w:rPr>
      </w:pPr>
      <w:r w:rsidRPr="0000169A">
        <w:rPr>
          <w:rFonts w:cs="TT267t00"/>
          <w:lang w:val="en-GB"/>
        </w:rPr>
        <w:t>Salary,</w:t>
      </w:r>
      <w:r w:rsidR="00BC27FB" w:rsidRPr="0000169A">
        <w:rPr>
          <w:rFonts w:cs="TT267t00"/>
          <w:lang w:val="en-GB"/>
        </w:rPr>
        <w:t xml:space="preserve"> social benefits, </w:t>
      </w:r>
      <w:r w:rsidRPr="0000169A">
        <w:rPr>
          <w:rFonts w:cs="TT267t00"/>
          <w:lang w:val="en-GB"/>
        </w:rPr>
        <w:t>incentive payments</w:t>
      </w:r>
      <w:r w:rsidR="00BC27FB" w:rsidRPr="0000169A">
        <w:rPr>
          <w:rFonts w:cs="TT267t00"/>
          <w:lang w:val="en-GB"/>
        </w:rPr>
        <w:t xml:space="preserve"> etc.</w:t>
      </w:r>
      <w:r w:rsidR="0054098F" w:rsidRPr="0000169A">
        <w:rPr>
          <w:rFonts w:cs="TT267t00"/>
          <w:lang w:val="en-GB"/>
        </w:rPr>
        <w:t xml:space="preserve">, refer to </w:t>
      </w:r>
      <w:proofErr w:type="spellStart"/>
      <w:r w:rsidR="0054098F" w:rsidRPr="0000169A">
        <w:rPr>
          <w:rFonts w:cs="TT267t00"/>
          <w:i/>
          <w:iCs/>
          <w:lang w:val="en-GB"/>
        </w:rPr>
        <w:t>Back_Calculation</w:t>
      </w:r>
      <w:proofErr w:type="spellEnd"/>
      <w:r w:rsidR="0054098F" w:rsidRPr="0000169A">
        <w:rPr>
          <w:rFonts w:cs="TT267t00"/>
          <w:lang w:val="en-GB"/>
        </w:rPr>
        <w:t xml:space="preserve"> worksheet.</w:t>
      </w:r>
    </w:p>
    <w:p w14:paraId="48633EE0" w14:textId="6E14AE38" w:rsidR="00827D29" w:rsidRPr="0000169A" w:rsidRDefault="00916410" w:rsidP="00827D29">
      <w:pPr>
        <w:rPr>
          <w:rStyle w:val="IntenseReference"/>
          <w:b w:val="0"/>
          <w:bCs w:val="0"/>
          <w:lang w:val="en-GB"/>
        </w:rPr>
      </w:pPr>
      <w:r>
        <w:rPr>
          <w:rStyle w:val="IntenseReference"/>
          <w:b w:val="0"/>
          <w:bCs w:val="0"/>
          <w:lang w:val="en-GB"/>
        </w:rPr>
        <w:t>6</w:t>
      </w:r>
      <w:r w:rsidR="00827D29" w:rsidRPr="0000169A">
        <w:rPr>
          <w:rStyle w:val="IntenseReference"/>
          <w:b w:val="0"/>
          <w:bCs w:val="0"/>
          <w:lang w:val="en-GB"/>
        </w:rPr>
        <w:t>.2. training</w:t>
      </w:r>
    </w:p>
    <w:p w14:paraId="601715F9" w14:textId="36429C7E" w:rsidR="00C67D7A" w:rsidRPr="0000169A" w:rsidRDefault="00DE5254" w:rsidP="00A1593B">
      <w:pPr>
        <w:spacing w:after="0"/>
        <w:rPr>
          <w:rFonts w:cs="TT267t00"/>
          <w:lang w:val="en-GB"/>
        </w:rPr>
      </w:pPr>
      <w:r w:rsidRPr="0000169A">
        <w:rPr>
          <w:rFonts w:cs="TT267t00"/>
          <w:lang w:val="en-GB"/>
        </w:rPr>
        <w:t xml:space="preserve">All types of training provided to </w:t>
      </w:r>
      <w:r w:rsidR="00243A2F" w:rsidRPr="0000169A">
        <w:rPr>
          <w:rFonts w:cs="TT267t00"/>
          <w:lang w:val="en-GB"/>
        </w:rPr>
        <w:t xml:space="preserve">HCWs should be input into the </w:t>
      </w:r>
      <w:r w:rsidR="00243A2F" w:rsidRPr="0000169A">
        <w:rPr>
          <w:rFonts w:cs="TT267t00"/>
          <w:i/>
          <w:iCs/>
          <w:lang w:val="en-GB"/>
        </w:rPr>
        <w:t>Training</w:t>
      </w:r>
      <w:r w:rsidR="00243A2F" w:rsidRPr="0000169A">
        <w:rPr>
          <w:rFonts w:cs="TT267t00"/>
          <w:lang w:val="en-GB"/>
        </w:rPr>
        <w:t xml:space="preserve"> worksheet.</w:t>
      </w:r>
    </w:p>
    <w:p w14:paraId="1B5B18AA" w14:textId="13A7866F" w:rsidR="00C67D7A" w:rsidRPr="0000169A" w:rsidRDefault="00DE5254" w:rsidP="00C67D7A">
      <w:pPr>
        <w:pStyle w:val="ListParagraph"/>
        <w:numPr>
          <w:ilvl w:val="0"/>
          <w:numId w:val="37"/>
        </w:numPr>
        <w:spacing w:after="0"/>
        <w:rPr>
          <w:rFonts w:cs="TT267t00"/>
          <w:lang w:val="en-GB"/>
        </w:rPr>
      </w:pPr>
      <w:r w:rsidRPr="0000169A">
        <w:rPr>
          <w:rFonts w:cs="TT267t00"/>
          <w:lang w:val="en-GB"/>
        </w:rPr>
        <w:t>Specify type of training</w:t>
      </w:r>
      <w:r w:rsidR="00044FA3" w:rsidRPr="0000169A">
        <w:rPr>
          <w:rFonts w:cs="TT267t00"/>
          <w:lang w:val="en-GB"/>
        </w:rPr>
        <w:t xml:space="preserve"> </w:t>
      </w:r>
      <w:r w:rsidR="00044FA3" w:rsidRPr="0000169A">
        <w:rPr>
          <w:rFonts w:cs="TT267t00"/>
          <w:i/>
          <w:iCs/>
          <w:lang w:val="en-GB"/>
        </w:rPr>
        <w:t>(Column B).</w:t>
      </w:r>
    </w:p>
    <w:p w14:paraId="1E144B00" w14:textId="326DFD6B" w:rsidR="00DE5254" w:rsidRPr="0000169A" w:rsidRDefault="00DE5254" w:rsidP="00C67D7A">
      <w:pPr>
        <w:pStyle w:val="ListParagraph"/>
        <w:numPr>
          <w:ilvl w:val="0"/>
          <w:numId w:val="37"/>
        </w:numPr>
        <w:spacing w:after="0"/>
        <w:rPr>
          <w:rFonts w:cs="TT267t00"/>
          <w:lang w:val="en-GB"/>
        </w:rPr>
      </w:pPr>
      <w:r w:rsidRPr="0000169A">
        <w:rPr>
          <w:rFonts w:cs="TT267t00"/>
          <w:lang w:val="en-GB"/>
        </w:rPr>
        <w:t xml:space="preserve">Specify start year of training </w:t>
      </w:r>
      <w:r w:rsidR="00044FA3" w:rsidRPr="0000169A">
        <w:rPr>
          <w:rFonts w:cs="TT267t00"/>
          <w:i/>
          <w:iCs/>
          <w:lang w:val="en-GB"/>
        </w:rPr>
        <w:t>(Column C).</w:t>
      </w:r>
    </w:p>
    <w:p w14:paraId="7D1FFADC" w14:textId="61C50018" w:rsidR="00DE5254" w:rsidRPr="0000169A" w:rsidRDefault="00DE5254" w:rsidP="00C67D7A">
      <w:pPr>
        <w:pStyle w:val="ListParagraph"/>
        <w:numPr>
          <w:ilvl w:val="0"/>
          <w:numId w:val="37"/>
        </w:numPr>
        <w:spacing w:after="0"/>
        <w:rPr>
          <w:rFonts w:cs="TT267t00"/>
          <w:lang w:val="en-GB"/>
        </w:rPr>
      </w:pPr>
      <w:r w:rsidRPr="0000169A">
        <w:rPr>
          <w:rFonts w:cs="TT267t00"/>
          <w:lang w:val="en-GB"/>
        </w:rPr>
        <w:t>Frequency of training sessions</w:t>
      </w:r>
      <w:r w:rsidR="00044FA3" w:rsidRPr="0000169A">
        <w:rPr>
          <w:rFonts w:cs="TT267t00"/>
          <w:lang w:val="en-GB"/>
        </w:rPr>
        <w:t xml:space="preserve"> </w:t>
      </w:r>
      <w:r w:rsidR="00044FA3" w:rsidRPr="0000169A">
        <w:rPr>
          <w:rFonts w:cs="TT267t00"/>
          <w:i/>
          <w:iCs/>
          <w:lang w:val="en-GB"/>
        </w:rPr>
        <w:t>(Column F).</w:t>
      </w:r>
    </w:p>
    <w:p w14:paraId="0D9682A5" w14:textId="194C803D" w:rsidR="00243A2F" w:rsidRPr="0000169A" w:rsidRDefault="00DE5254" w:rsidP="0054098F">
      <w:pPr>
        <w:pStyle w:val="ListParagraph"/>
        <w:numPr>
          <w:ilvl w:val="0"/>
          <w:numId w:val="37"/>
        </w:numPr>
        <w:rPr>
          <w:rStyle w:val="IntenseReference"/>
          <w:rFonts w:cs="TT267t00"/>
          <w:b w:val="0"/>
          <w:bCs w:val="0"/>
          <w:smallCaps w:val="0"/>
          <w:color w:val="auto"/>
          <w:spacing w:val="0"/>
          <w:lang w:val="en-GB"/>
        </w:rPr>
      </w:pPr>
      <w:r w:rsidRPr="0000169A">
        <w:rPr>
          <w:rFonts w:cs="TT267t00"/>
          <w:lang w:val="en-GB"/>
        </w:rPr>
        <w:t>Training costs per participant (note this should include all costs, fixed and variable, per training)</w:t>
      </w:r>
      <w:r w:rsidR="00044FA3" w:rsidRPr="0000169A">
        <w:rPr>
          <w:rFonts w:cs="TT267t00"/>
          <w:i/>
          <w:iCs/>
          <w:lang w:val="en-GB"/>
        </w:rPr>
        <w:t xml:space="preserve"> (Column I).</w:t>
      </w:r>
    </w:p>
    <w:p w14:paraId="226FFC88" w14:textId="226C2A4D" w:rsidR="00827D29" w:rsidRPr="0000169A" w:rsidRDefault="00916410" w:rsidP="00827D29">
      <w:pPr>
        <w:rPr>
          <w:rStyle w:val="IntenseReference"/>
          <w:b w:val="0"/>
          <w:bCs w:val="0"/>
          <w:lang w:val="en-GB"/>
        </w:rPr>
      </w:pPr>
      <w:r>
        <w:rPr>
          <w:rStyle w:val="IntenseReference"/>
          <w:b w:val="0"/>
          <w:bCs w:val="0"/>
          <w:lang w:val="en-GB"/>
        </w:rPr>
        <w:t>6</w:t>
      </w:r>
      <w:r w:rsidR="00827D29" w:rsidRPr="0000169A">
        <w:rPr>
          <w:rStyle w:val="IntenseReference"/>
          <w:b w:val="0"/>
          <w:bCs w:val="0"/>
          <w:lang w:val="en-GB"/>
        </w:rPr>
        <w:t xml:space="preserve">.3. equipment </w:t>
      </w:r>
    </w:p>
    <w:p w14:paraId="1D80BC0C" w14:textId="32E76727" w:rsidR="00DE5254" w:rsidRPr="0000169A" w:rsidRDefault="00C326D2" w:rsidP="00DE5254">
      <w:pPr>
        <w:spacing w:after="0"/>
        <w:rPr>
          <w:rFonts w:cs="TT267t00"/>
          <w:lang w:val="en-GB"/>
        </w:rPr>
      </w:pPr>
      <w:r w:rsidRPr="0000169A">
        <w:rPr>
          <w:rFonts w:cs="TT267t00"/>
          <w:lang w:val="en-GB"/>
        </w:rPr>
        <w:t xml:space="preserve">Equipment can be defined as any materials </w:t>
      </w:r>
      <w:r w:rsidR="00173B7B" w:rsidRPr="0000169A">
        <w:rPr>
          <w:rFonts w:cs="TT267t00"/>
          <w:lang w:val="en-GB"/>
        </w:rPr>
        <w:t xml:space="preserve">used by HCWS </w:t>
      </w:r>
      <w:r w:rsidRPr="0000169A">
        <w:rPr>
          <w:rFonts w:cs="TT267t00"/>
          <w:lang w:val="en-GB"/>
        </w:rPr>
        <w:t xml:space="preserve">recurrently in </w:t>
      </w:r>
      <w:r w:rsidR="00E065C9" w:rsidRPr="0000169A">
        <w:rPr>
          <w:rFonts w:cs="TT267t00"/>
          <w:lang w:val="en-GB"/>
        </w:rPr>
        <w:t>providing a service</w:t>
      </w:r>
      <w:r w:rsidRPr="0000169A">
        <w:rPr>
          <w:rFonts w:cs="TT267t00"/>
          <w:lang w:val="en-GB"/>
        </w:rPr>
        <w:t>.</w:t>
      </w:r>
    </w:p>
    <w:p w14:paraId="0F58A059" w14:textId="47F9A974" w:rsidR="00DE5254" w:rsidRPr="0000169A" w:rsidRDefault="00DE5254" w:rsidP="00DE5254">
      <w:pPr>
        <w:pStyle w:val="ListParagraph"/>
        <w:numPr>
          <w:ilvl w:val="0"/>
          <w:numId w:val="39"/>
        </w:numPr>
        <w:spacing w:after="0"/>
        <w:rPr>
          <w:rFonts w:cs="TT267t00"/>
          <w:lang w:val="en-GB"/>
        </w:rPr>
      </w:pPr>
      <w:r w:rsidRPr="0000169A">
        <w:rPr>
          <w:rFonts w:cs="TT267t00"/>
          <w:lang w:val="en-GB"/>
        </w:rPr>
        <w:t>List equipment used by HCWs when providing services</w:t>
      </w:r>
      <w:r w:rsidR="00044FA3" w:rsidRPr="0000169A">
        <w:rPr>
          <w:rFonts w:cs="TT267t00"/>
          <w:lang w:val="en-GB"/>
        </w:rPr>
        <w:t xml:space="preserve"> </w:t>
      </w:r>
      <w:r w:rsidR="00044FA3" w:rsidRPr="0000169A">
        <w:rPr>
          <w:rFonts w:cs="TT267t00"/>
          <w:i/>
          <w:iCs/>
          <w:lang w:val="en-GB"/>
        </w:rPr>
        <w:t>(Column B).</w:t>
      </w:r>
    </w:p>
    <w:p w14:paraId="0D88DB92" w14:textId="05FC4C0D" w:rsidR="00DE5254" w:rsidRPr="0000169A" w:rsidRDefault="00DE5254" w:rsidP="00DE5254">
      <w:pPr>
        <w:pStyle w:val="ListParagraph"/>
        <w:numPr>
          <w:ilvl w:val="0"/>
          <w:numId w:val="39"/>
        </w:numPr>
        <w:spacing w:after="0"/>
        <w:rPr>
          <w:rFonts w:cs="TT267t00"/>
          <w:lang w:val="en-GB"/>
        </w:rPr>
      </w:pPr>
      <w:r w:rsidRPr="0000169A">
        <w:rPr>
          <w:rFonts w:cs="TT267t00"/>
          <w:lang w:val="en-GB"/>
        </w:rPr>
        <w:t>Units required per health system level</w:t>
      </w:r>
      <w:r w:rsidR="00FF69A1" w:rsidRPr="0000169A">
        <w:rPr>
          <w:rFonts w:cs="TT267t00"/>
          <w:lang w:val="en-GB"/>
        </w:rPr>
        <w:t xml:space="preserve"> </w:t>
      </w:r>
      <w:r w:rsidR="00FF69A1" w:rsidRPr="0000169A">
        <w:rPr>
          <w:rFonts w:cs="TT267t00"/>
          <w:i/>
          <w:iCs/>
          <w:lang w:val="en-GB"/>
        </w:rPr>
        <w:t>(Column E).</w:t>
      </w:r>
    </w:p>
    <w:p w14:paraId="11DCC0FB" w14:textId="21EB66BF" w:rsidR="00DE5254" w:rsidRPr="0000169A" w:rsidRDefault="00DE5254" w:rsidP="00DE5254">
      <w:pPr>
        <w:pStyle w:val="ListParagraph"/>
        <w:numPr>
          <w:ilvl w:val="0"/>
          <w:numId w:val="39"/>
        </w:numPr>
        <w:spacing w:after="0"/>
        <w:rPr>
          <w:rFonts w:cs="TT267t00"/>
          <w:lang w:val="en-GB"/>
        </w:rPr>
      </w:pPr>
      <w:r w:rsidRPr="0000169A">
        <w:rPr>
          <w:rFonts w:cs="TT267t00"/>
          <w:lang w:val="en-GB"/>
        </w:rPr>
        <w:t>Replacement frequency for each type of equipment</w:t>
      </w:r>
      <w:r w:rsidR="00FF69A1" w:rsidRPr="0000169A">
        <w:rPr>
          <w:rFonts w:cs="TT267t00"/>
          <w:lang w:val="en-GB"/>
        </w:rPr>
        <w:t xml:space="preserve"> </w:t>
      </w:r>
      <w:r w:rsidR="00FF69A1" w:rsidRPr="0000169A">
        <w:rPr>
          <w:rFonts w:cs="TT267t00"/>
          <w:i/>
          <w:iCs/>
          <w:lang w:val="en-GB"/>
        </w:rPr>
        <w:t>(Column H).</w:t>
      </w:r>
    </w:p>
    <w:p w14:paraId="63CBD270" w14:textId="79D9175C" w:rsidR="00DE5254" w:rsidRPr="0000169A" w:rsidRDefault="00DE5254" w:rsidP="00DE5254">
      <w:pPr>
        <w:pStyle w:val="ListParagraph"/>
        <w:numPr>
          <w:ilvl w:val="0"/>
          <w:numId w:val="39"/>
        </w:numPr>
        <w:spacing w:after="0"/>
        <w:rPr>
          <w:rFonts w:cs="TT267t00"/>
          <w:lang w:val="en-GB"/>
        </w:rPr>
      </w:pPr>
      <w:r w:rsidRPr="0000169A">
        <w:rPr>
          <w:rFonts w:cs="TT267t00"/>
          <w:lang w:val="en-GB"/>
        </w:rPr>
        <w:t>Unit costs</w:t>
      </w:r>
      <w:r w:rsidR="00C769F5" w:rsidRPr="0000169A">
        <w:rPr>
          <w:rFonts w:cs="TT267t00"/>
          <w:lang w:val="en-GB"/>
        </w:rPr>
        <w:t xml:space="preserve"> for each type of equipment</w:t>
      </w:r>
      <w:r w:rsidR="00FF69A1" w:rsidRPr="0000169A">
        <w:rPr>
          <w:rFonts w:cs="TT267t00"/>
          <w:lang w:val="en-GB"/>
        </w:rPr>
        <w:t xml:space="preserve"> </w:t>
      </w:r>
      <w:r w:rsidR="00FF69A1" w:rsidRPr="0000169A">
        <w:rPr>
          <w:rFonts w:cs="TT267t00"/>
          <w:i/>
          <w:iCs/>
          <w:lang w:val="en-GB"/>
        </w:rPr>
        <w:t>(Column I).</w:t>
      </w:r>
    </w:p>
    <w:p w14:paraId="47E4C426" w14:textId="6A14ACA3" w:rsidR="00C769F5" w:rsidRPr="0000169A" w:rsidRDefault="00C769F5" w:rsidP="0075748E">
      <w:pPr>
        <w:pStyle w:val="ListParagraph"/>
        <w:numPr>
          <w:ilvl w:val="0"/>
          <w:numId w:val="39"/>
        </w:numPr>
        <w:rPr>
          <w:rStyle w:val="IntenseReference"/>
          <w:rFonts w:cs="TT267t00"/>
          <w:b w:val="0"/>
          <w:bCs w:val="0"/>
          <w:smallCaps w:val="0"/>
          <w:color w:val="auto"/>
          <w:spacing w:val="0"/>
          <w:lang w:val="en-GB"/>
        </w:rPr>
      </w:pPr>
      <w:r w:rsidRPr="0000169A">
        <w:rPr>
          <w:rFonts w:cs="TT267t00"/>
          <w:lang w:val="en-GB"/>
        </w:rPr>
        <w:t>Costs of transport, management, storage, and delivery of equipment as total cost or percentage mark-up, if applicable</w:t>
      </w:r>
      <w:r w:rsidR="00FF69A1" w:rsidRPr="0000169A">
        <w:rPr>
          <w:rFonts w:cs="TT267t00"/>
          <w:lang w:val="en-GB"/>
        </w:rPr>
        <w:t xml:space="preserve"> </w:t>
      </w:r>
      <w:r w:rsidR="00FF69A1" w:rsidRPr="0000169A">
        <w:rPr>
          <w:rFonts w:cs="TT267t00"/>
          <w:i/>
          <w:iCs/>
          <w:lang w:val="en-GB"/>
        </w:rPr>
        <w:t>(Cell I5)</w:t>
      </w:r>
    </w:p>
    <w:p w14:paraId="05290EB8" w14:textId="484D1DE2" w:rsidR="00173B7B" w:rsidRPr="0000169A" w:rsidRDefault="00916410" w:rsidP="007B675A">
      <w:pPr>
        <w:rPr>
          <w:rStyle w:val="IntenseReference"/>
          <w:b w:val="0"/>
          <w:bCs w:val="0"/>
          <w:lang w:val="en-GB"/>
        </w:rPr>
      </w:pPr>
      <w:r>
        <w:rPr>
          <w:rStyle w:val="IntenseReference"/>
          <w:b w:val="0"/>
          <w:bCs w:val="0"/>
          <w:lang w:val="en-GB"/>
        </w:rPr>
        <w:t>6</w:t>
      </w:r>
      <w:r w:rsidR="00827D29" w:rsidRPr="0000169A">
        <w:rPr>
          <w:rStyle w:val="IntenseReference"/>
          <w:b w:val="0"/>
          <w:bCs w:val="0"/>
          <w:lang w:val="en-GB"/>
        </w:rPr>
        <w:t>.4. assistive products costs</w:t>
      </w:r>
    </w:p>
    <w:p w14:paraId="7A048D14" w14:textId="63602A7A" w:rsidR="007B675A" w:rsidRPr="0000169A" w:rsidRDefault="007B675A" w:rsidP="007B675A">
      <w:pPr>
        <w:pStyle w:val="ListParagraph"/>
        <w:numPr>
          <w:ilvl w:val="0"/>
          <w:numId w:val="39"/>
        </w:numPr>
        <w:spacing w:after="0"/>
        <w:rPr>
          <w:rFonts w:cs="TT267t00"/>
          <w:lang w:val="en-GB"/>
        </w:rPr>
      </w:pPr>
      <w:r w:rsidRPr="0000169A">
        <w:rPr>
          <w:rFonts w:cs="TT267t00"/>
          <w:lang w:val="en-GB"/>
        </w:rPr>
        <w:t>List all assistive products, commodities etc. for the specific program</w:t>
      </w:r>
      <w:r w:rsidR="00FF69A1" w:rsidRPr="0000169A">
        <w:rPr>
          <w:rFonts w:cs="TT267t00"/>
          <w:lang w:val="en-GB"/>
        </w:rPr>
        <w:t xml:space="preserve"> </w:t>
      </w:r>
      <w:r w:rsidR="00FF69A1" w:rsidRPr="0000169A">
        <w:rPr>
          <w:rFonts w:cs="TT267t00"/>
          <w:i/>
          <w:iCs/>
          <w:lang w:val="en-GB"/>
        </w:rPr>
        <w:t>(Column C).</w:t>
      </w:r>
    </w:p>
    <w:p w14:paraId="1227F580" w14:textId="58BC18DB" w:rsidR="007B675A" w:rsidRPr="0000169A" w:rsidRDefault="007B675A" w:rsidP="007B675A">
      <w:pPr>
        <w:pStyle w:val="ListParagraph"/>
        <w:numPr>
          <w:ilvl w:val="0"/>
          <w:numId w:val="39"/>
        </w:numPr>
        <w:spacing w:after="0"/>
        <w:rPr>
          <w:rFonts w:cs="TT267t00"/>
          <w:lang w:val="en-GB"/>
        </w:rPr>
      </w:pPr>
      <w:r w:rsidRPr="0000169A">
        <w:rPr>
          <w:rFonts w:cs="TT267t00"/>
          <w:lang w:val="en-GB"/>
        </w:rPr>
        <w:t>Unit costs</w:t>
      </w:r>
      <w:r w:rsidR="002B5139" w:rsidRPr="0000169A">
        <w:rPr>
          <w:rFonts w:cs="TT267t00"/>
          <w:lang w:val="en-GB"/>
        </w:rPr>
        <w:t xml:space="preserve"> </w:t>
      </w:r>
      <w:r w:rsidR="002B5139" w:rsidRPr="0000169A">
        <w:rPr>
          <w:rFonts w:cs="TT267t00"/>
          <w:i/>
          <w:iCs/>
          <w:lang w:val="en-GB"/>
        </w:rPr>
        <w:t>(Column D).</w:t>
      </w:r>
    </w:p>
    <w:p w14:paraId="764042B6" w14:textId="20E21646" w:rsidR="007B675A" w:rsidRPr="0000169A" w:rsidRDefault="007B675A" w:rsidP="007B675A">
      <w:pPr>
        <w:pStyle w:val="ListParagraph"/>
        <w:numPr>
          <w:ilvl w:val="0"/>
          <w:numId w:val="39"/>
        </w:numPr>
        <w:rPr>
          <w:rStyle w:val="IntenseReference"/>
          <w:rFonts w:cs="TT267t00"/>
          <w:b w:val="0"/>
          <w:bCs w:val="0"/>
          <w:smallCaps w:val="0"/>
          <w:color w:val="auto"/>
          <w:spacing w:val="0"/>
          <w:lang w:val="en-GB"/>
        </w:rPr>
      </w:pPr>
      <w:r w:rsidRPr="0000169A">
        <w:rPr>
          <w:rFonts w:cs="TT267t00"/>
          <w:lang w:val="en-GB"/>
        </w:rPr>
        <w:t>Costs of transport, management, storage, and delivery of medicines as total cost or percentage mark-up, if applicable</w:t>
      </w:r>
      <w:r w:rsidR="002B5139" w:rsidRPr="0000169A">
        <w:rPr>
          <w:rFonts w:cs="TT267t00"/>
          <w:lang w:val="en-GB"/>
        </w:rPr>
        <w:t xml:space="preserve"> </w:t>
      </w:r>
      <w:r w:rsidR="002B5139" w:rsidRPr="0000169A">
        <w:rPr>
          <w:rFonts w:cs="TT267t00"/>
          <w:i/>
          <w:iCs/>
          <w:lang w:val="en-GB"/>
        </w:rPr>
        <w:t>(Cell F6).</w:t>
      </w:r>
    </w:p>
    <w:p w14:paraId="1B60018D" w14:textId="40341021" w:rsidR="00827D29" w:rsidRPr="0000169A" w:rsidRDefault="00916410" w:rsidP="00827D29">
      <w:pPr>
        <w:rPr>
          <w:rStyle w:val="IntenseReference"/>
          <w:b w:val="0"/>
          <w:bCs w:val="0"/>
          <w:lang w:val="en-GB"/>
        </w:rPr>
      </w:pPr>
      <w:r>
        <w:rPr>
          <w:rStyle w:val="IntenseReference"/>
          <w:b w:val="0"/>
          <w:bCs w:val="0"/>
          <w:lang w:val="en-GB"/>
        </w:rPr>
        <w:t>6</w:t>
      </w:r>
      <w:r w:rsidR="00827D29" w:rsidRPr="0000169A">
        <w:rPr>
          <w:rStyle w:val="IntenseReference"/>
          <w:b w:val="0"/>
          <w:bCs w:val="0"/>
          <w:lang w:val="en-GB"/>
        </w:rPr>
        <w:t>.5. other recurrent costs</w:t>
      </w:r>
    </w:p>
    <w:p w14:paraId="4A3D37C6" w14:textId="1C7D4935" w:rsidR="00173B7B" w:rsidRPr="0000169A" w:rsidRDefault="00173B7B" w:rsidP="002B5139">
      <w:pPr>
        <w:spacing w:after="0"/>
        <w:jc w:val="both"/>
        <w:rPr>
          <w:lang w:val="en-GB"/>
        </w:rPr>
      </w:pPr>
      <w:r w:rsidRPr="0000169A">
        <w:rPr>
          <w:rFonts w:cs="TT267t00"/>
          <w:lang w:val="en-GB"/>
        </w:rPr>
        <w:t xml:space="preserve">The </w:t>
      </w:r>
      <w:proofErr w:type="spellStart"/>
      <w:r w:rsidRPr="0000169A">
        <w:rPr>
          <w:rFonts w:cs="TT267t00"/>
          <w:i/>
          <w:iCs/>
          <w:lang w:val="en-GB"/>
        </w:rPr>
        <w:t>Other_Recurrent_Costs</w:t>
      </w:r>
      <w:proofErr w:type="spellEnd"/>
      <w:r w:rsidRPr="0000169A">
        <w:rPr>
          <w:rFonts w:cs="TT267t00"/>
          <w:lang w:val="en-GB"/>
        </w:rPr>
        <w:t xml:space="preserve"> worksheet allows the user to input any recurrent program costs that have not previously been addressed in the Tool. </w:t>
      </w:r>
      <w:r w:rsidR="00141B2F" w:rsidRPr="0000169A">
        <w:rPr>
          <w:rFonts w:cs="TT267t00"/>
          <w:lang w:val="en-GB"/>
        </w:rPr>
        <w:t xml:space="preserve">Recurrent costs are defined as those that repeat annually throughout the program. </w:t>
      </w:r>
      <w:r w:rsidRPr="0000169A">
        <w:rPr>
          <w:rFonts w:cs="TT267t00"/>
          <w:lang w:val="en-GB"/>
        </w:rPr>
        <w:t>Typically, these costs could include administrative or overhead costs such as office rental, communications, or vehicle maintenance costs.</w:t>
      </w:r>
      <w:r w:rsidR="00BC27FB" w:rsidRPr="0000169A">
        <w:rPr>
          <w:lang w:val="en-GB"/>
        </w:rPr>
        <w:t xml:space="preserve"> </w:t>
      </w:r>
    </w:p>
    <w:p w14:paraId="0D6E3E90" w14:textId="3E0E357C" w:rsidR="002B5139" w:rsidRPr="0000169A" w:rsidRDefault="002B5139" w:rsidP="002B5139">
      <w:pPr>
        <w:pStyle w:val="ListParagraph"/>
        <w:numPr>
          <w:ilvl w:val="0"/>
          <w:numId w:val="43"/>
        </w:numPr>
        <w:spacing w:after="120"/>
        <w:jc w:val="both"/>
        <w:rPr>
          <w:rStyle w:val="IntenseReference"/>
          <w:rFonts w:cs="TT267t00"/>
          <w:b w:val="0"/>
          <w:bCs w:val="0"/>
          <w:smallCaps w:val="0"/>
          <w:color w:val="auto"/>
          <w:spacing w:val="0"/>
          <w:lang w:val="en-GB"/>
        </w:rPr>
      </w:pPr>
      <w:r w:rsidRPr="0000169A">
        <w:rPr>
          <w:rStyle w:val="IntenseReference"/>
          <w:rFonts w:cs="TT267t00"/>
          <w:b w:val="0"/>
          <w:bCs w:val="0"/>
          <w:smallCaps w:val="0"/>
          <w:color w:val="auto"/>
          <w:spacing w:val="0"/>
          <w:lang w:val="en-GB"/>
        </w:rPr>
        <w:t xml:space="preserve">Description of cost or activity </w:t>
      </w:r>
      <w:r w:rsidRPr="0000169A">
        <w:rPr>
          <w:rFonts w:cs="TT267t00"/>
          <w:i/>
          <w:iCs/>
          <w:lang w:val="en-GB"/>
        </w:rPr>
        <w:t>(Column B).</w:t>
      </w:r>
    </w:p>
    <w:p w14:paraId="4FBC22AF" w14:textId="20756F7B" w:rsidR="002B5139" w:rsidRPr="0000169A" w:rsidRDefault="002B5139" w:rsidP="002B5139">
      <w:pPr>
        <w:pStyle w:val="ListParagraph"/>
        <w:numPr>
          <w:ilvl w:val="0"/>
          <w:numId w:val="43"/>
        </w:numPr>
        <w:spacing w:after="120"/>
        <w:jc w:val="both"/>
        <w:rPr>
          <w:rStyle w:val="IntenseReference"/>
          <w:rFonts w:cs="TT267t00"/>
          <w:b w:val="0"/>
          <w:bCs w:val="0"/>
          <w:smallCaps w:val="0"/>
          <w:color w:val="auto"/>
          <w:spacing w:val="0"/>
          <w:lang w:val="en-GB"/>
        </w:rPr>
      </w:pPr>
      <w:r w:rsidRPr="0000169A">
        <w:rPr>
          <w:rStyle w:val="IntenseReference"/>
          <w:rFonts w:cs="TT267t00"/>
          <w:b w:val="0"/>
          <w:bCs w:val="0"/>
          <w:smallCaps w:val="0"/>
          <w:color w:val="auto"/>
          <w:spacing w:val="0"/>
          <w:lang w:val="en-GB"/>
        </w:rPr>
        <w:t xml:space="preserve">Units required annually per health system level </w:t>
      </w:r>
      <w:r w:rsidRPr="0000169A">
        <w:rPr>
          <w:rFonts w:cs="TT267t00"/>
          <w:i/>
          <w:iCs/>
          <w:lang w:val="en-GB"/>
        </w:rPr>
        <w:t>(Column E).</w:t>
      </w:r>
    </w:p>
    <w:p w14:paraId="4541CAE5" w14:textId="529B68F1" w:rsidR="002B5139" w:rsidRPr="0000169A" w:rsidRDefault="002B5139" w:rsidP="002B5139">
      <w:pPr>
        <w:pStyle w:val="ListParagraph"/>
        <w:numPr>
          <w:ilvl w:val="0"/>
          <w:numId w:val="43"/>
        </w:numPr>
        <w:spacing w:after="120"/>
        <w:jc w:val="both"/>
        <w:rPr>
          <w:rStyle w:val="IntenseReference"/>
          <w:rFonts w:cs="TT267t00"/>
          <w:b w:val="0"/>
          <w:bCs w:val="0"/>
          <w:smallCaps w:val="0"/>
          <w:color w:val="auto"/>
          <w:spacing w:val="0"/>
          <w:lang w:val="en-GB"/>
        </w:rPr>
      </w:pPr>
      <w:r w:rsidRPr="0000169A">
        <w:rPr>
          <w:rStyle w:val="IntenseReference"/>
          <w:rFonts w:cs="TT267t00"/>
          <w:b w:val="0"/>
          <w:bCs w:val="0"/>
          <w:smallCaps w:val="0"/>
          <w:color w:val="auto"/>
          <w:spacing w:val="0"/>
          <w:lang w:val="en-GB"/>
        </w:rPr>
        <w:lastRenderedPageBreak/>
        <w:t xml:space="preserve">Unit cost </w:t>
      </w:r>
      <w:r w:rsidRPr="0000169A">
        <w:rPr>
          <w:rFonts w:cs="TT267t00"/>
          <w:i/>
          <w:iCs/>
          <w:lang w:val="en-GB"/>
        </w:rPr>
        <w:t>(Column F).</w:t>
      </w:r>
      <w:r w:rsidRPr="0000169A">
        <w:rPr>
          <w:rStyle w:val="IntenseReference"/>
          <w:rFonts w:cs="TT267t00"/>
          <w:b w:val="0"/>
          <w:bCs w:val="0"/>
          <w:smallCaps w:val="0"/>
          <w:color w:val="auto"/>
          <w:spacing w:val="0"/>
          <w:lang w:val="en-GB"/>
        </w:rPr>
        <w:t xml:space="preserve"> </w:t>
      </w:r>
    </w:p>
    <w:p w14:paraId="525445D3" w14:textId="71A9A1FF" w:rsidR="002B5139" w:rsidRPr="0000169A" w:rsidRDefault="002B5139" w:rsidP="002B5139">
      <w:pPr>
        <w:pStyle w:val="ListParagraph"/>
        <w:numPr>
          <w:ilvl w:val="0"/>
          <w:numId w:val="43"/>
        </w:numPr>
        <w:spacing w:after="120"/>
        <w:jc w:val="both"/>
        <w:rPr>
          <w:rStyle w:val="IntenseReference"/>
          <w:rFonts w:cs="TT267t00"/>
          <w:b w:val="0"/>
          <w:bCs w:val="0"/>
          <w:smallCaps w:val="0"/>
          <w:color w:val="auto"/>
          <w:spacing w:val="0"/>
          <w:lang w:val="en-GB"/>
        </w:rPr>
      </w:pPr>
      <w:r w:rsidRPr="0000169A">
        <w:rPr>
          <w:rStyle w:val="IntenseReference"/>
          <w:rFonts w:cs="TT267t00"/>
          <w:b w:val="0"/>
          <w:bCs w:val="0"/>
          <w:smallCaps w:val="0"/>
          <w:color w:val="auto"/>
          <w:spacing w:val="0"/>
          <w:lang w:val="en-GB"/>
        </w:rPr>
        <w:t xml:space="preserve">Annual cost per health system level </w:t>
      </w:r>
      <w:r w:rsidRPr="0000169A">
        <w:rPr>
          <w:rFonts w:cs="TT267t00"/>
          <w:i/>
          <w:iCs/>
          <w:lang w:val="en-GB"/>
        </w:rPr>
        <w:t>(Column G).</w:t>
      </w:r>
    </w:p>
    <w:p w14:paraId="3D077335" w14:textId="5BF796E3" w:rsidR="00827D29" w:rsidRPr="0000169A" w:rsidRDefault="00916410" w:rsidP="00827D29">
      <w:pPr>
        <w:rPr>
          <w:rStyle w:val="IntenseReference"/>
          <w:b w:val="0"/>
          <w:bCs w:val="0"/>
          <w:lang w:val="en-GB"/>
        </w:rPr>
      </w:pPr>
      <w:r>
        <w:rPr>
          <w:rStyle w:val="IntenseReference"/>
          <w:b w:val="0"/>
          <w:bCs w:val="0"/>
          <w:lang w:val="en-GB"/>
        </w:rPr>
        <w:t>6</w:t>
      </w:r>
      <w:r w:rsidR="00827D29" w:rsidRPr="0000169A">
        <w:rPr>
          <w:rStyle w:val="IntenseReference"/>
          <w:b w:val="0"/>
          <w:bCs w:val="0"/>
          <w:lang w:val="en-GB"/>
        </w:rPr>
        <w:t>.6. start-up and capital costs</w:t>
      </w:r>
    </w:p>
    <w:p w14:paraId="1A22C5AE" w14:textId="64A05532" w:rsidR="0075748E" w:rsidRPr="0000169A" w:rsidRDefault="00BC27FB" w:rsidP="00BC27FB">
      <w:pPr>
        <w:spacing w:after="0"/>
        <w:rPr>
          <w:rFonts w:cs="TT267t00"/>
          <w:lang w:val="en-GB"/>
        </w:rPr>
      </w:pPr>
      <w:r w:rsidRPr="0000169A">
        <w:rPr>
          <w:rFonts w:cs="TT267t00"/>
          <w:lang w:val="en-GB"/>
        </w:rPr>
        <w:t>All costs that are fixed, one-time expenses can be entered in this worksheet.</w:t>
      </w:r>
    </w:p>
    <w:p w14:paraId="74CFD80D" w14:textId="3630BE66" w:rsidR="0075748E" w:rsidRPr="0000169A" w:rsidRDefault="00BC27FB" w:rsidP="002273CA">
      <w:pPr>
        <w:pStyle w:val="ListParagraph"/>
        <w:numPr>
          <w:ilvl w:val="0"/>
          <w:numId w:val="41"/>
        </w:numPr>
        <w:rPr>
          <w:rFonts w:cs="TT267t00"/>
          <w:lang w:val="en-GB"/>
        </w:rPr>
      </w:pPr>
      <w:r w:rsidRPr="0000169A">
        <w:rPr>
          <w:rFonts w:cs="TT267t00"/>
          <w:lang w:val="en-GB"/>
        </w:rPr>
        <w:t xml:space="preserve">List capital costs such as </w:t>
      </w:r>
      <w:r w:rsidR="0075748E" w:rsidRPr="0000169A">
        <w:rPr>
          <w:rFonts w:cs="TT267t00"/>
          <w:lang w:val="en-GB"/>
        </w:rPr>
        <w:t>purchasing of equipment, construction, or renovation costs etc.</w:t>
      </w:r>
      <w:r w:rsidR="002273CA" w:rsidRPr="0000169A">
        <w:rPr>
          <w:rFonts w:cs="TT267t00"/>
          <w:lang w:val="en-GB"/>
        </w:rPr>
        <w:t xml:space="preserve"> or start-up activities (i.e., workshops, program design and development, technical assistance from experts) </w:t>
      </w:r>
      <w:r w:rsidR="002273CA" w:rsidRPr="0000169A">
        <w:rPr>
          <w:rFonts w:cs="TT267t00"/>
          <w:i/>
          <w:iCs/>
          <w:lang w:val="en-GB"/>
        </w:rPr>
        <w:t>(Column B).</w:t>
      </w:r>
    </w:p>
    <w:p w14:paraId="07052441" w14:textId="135B882B" w:rsidR="002273CA" w:rsidRPr="0000169A" w:rsidRDefault="002273CA" w:rsidP="002273CA">
      <w:pPr>
        <w:pStyle w:val="ListParagraph"/>
        <w:numPr>
          <w:ilvl w:val="0"/>
          <w:numId w:val="41"/>
        </w:numPr>
        <w:rPr>
          <w:rFonts w:cs="TT267t00"/>
          <w:lang w:val="en-GB"/>
        </w:rPr>
      </w:pPr>
      <w:r w:rsidRPr="0000169A">
        <w:rPr>
          <w:rFonts w:cs="TT267t00"/>
          <w:lang w:val="en-GB"/>
        </w:rPr>
        <w:t xml:space="preserve">Units required </w:t>
      </w:r>
      <w:r w:rsidRPr="0000169A">
        <w:rPr>
          <w:rFonts w:cs="TT267t00"/>
          <w:i/>
          <w:iCs/>
          <w:lang w:val="en-GB"/>
        </w:rPr>
        <w:t>(Column D).</w:t>
      </w:r>
    </w:p>
    <w:p w14:paraId="71A5FC3F" w14:textId="265AAE84" w:rsidR="002273CA" w:rsidRPr="0000169A" w:rsidRDefault="002273CA" w:rsidP="002273CA">
      <w:pPr>
        <w:pStyle w:val="ListParagraph"/>
        <w:numPr>
          <w:ilvl w:val="0"/>
          <w:numId w:val="41"/>
        </w:numPr>
        <w:rPr>
          <w:rFonts w:cs="TT267t00"/>
          <w:lang w:val="en-GB"/>
        </w:rPr>
      </w:pPr>
      <w:r w:rsidRPr="0000169A">
        <w:rPr>
          <w:rFonts w:cs="TT267t00"/>
          <w:lang w:val="en-GB"/>
        </w:rPr>
        <w:t xml:space="preserve">Unit costs </w:t>
      </w:r>
      <w:r w:rsidRPr="0000169A">
        <w:rPr>
          <w:rFonts w:cs="TT267t00"/>
          <w:i/>
          <w:iCs/>
          <w:lang w:val="en-GB"/>
        </w:rPr>
        <w:t>(Column E).</w:t>
      </w:r>
    </w:p>
    <w:p w14:paraId="156D4DC3" w14:textId="290B6BBB" w:rsidR="0075748E" w:rsidRPr="0000169A" w:rsidRDefault="0075748E" w:rsidP="0075748E">
      <w:pPr>
        <w:pStyle w:val="ListParagraph"/>
        <w:numPr>
          <w:ilvl w:val="0"/>
          <w:numId w:val="41"/>
        </w:numPr>
        <w:rPr>
          <w:rStyle w:val="IntenseReference"/>
          <w:rFonts w:cs="TT267t00"/>
          <w:b w:val="0"/>
          <w:bCs w:val="0"/>
          <w:smallCaps w:val="0"/>
          <w:color w:val="auto"/>
          <w:spacing w:val="0"/>
          <w:lang w:val="en-GB"/>
        </w:rPr>
      </w:pPr>
      <w:r w:rsidRPr="0000169A">
        <w:rPr>
          <w:rFonts w:cs="TT267t00"/>
          <w:lang w:val="en-GB"/>
        </w:rPr>
        <w:t xml:space="preserve">Indicate year and health system level the costs are incurred </w:t>
      </w:r>
      <w:r w:rsidR="002273CA" w:rsidRPr="0000169A">
        <w:rPr>
          <w:rFonts w:cs="TT267t00"/>
          <w:i/>
          <w:iCs/>
          <w:lang w:val="en-GB"/>
        </w:rPr>
        <w:t>(Column F).</w:t>
      </w:r>
    </w:p>
    <w:p w14:paraId="68C0ABB9" w14:textId="5ACB3BC6" w:rsidR="00827D29" w:rsidRPr="0000169A" w:rsidRDefault="00916410" w:rsidP="00827D29">
      <w:pPr>
        <w:rPr>
          <w:rStyle w:val="IntenseReference"/>
          <w:b w:val="0"/>
          <w:bCs w:val="0"/>
          <w:lang w:val="en-GB"/>
        </w:rPr>
      </w:pPr>
      <w:r>
        <w:rPr>
          <w:rStyle w:val="IntenseReference"/>
          <w:b w:val="0"/>
          <w:bCs w:val="0"/>
          <w:lang w:val="en-GB"/>
        </w:rPr>
        <w:t>6</w:t>
      </w:r>
      <w:r w:rsidR="00827D29" w:rsidRPr="0000169A">
        <w:rPr>
          <w:rStyle w:val="IntenseReference"/>
          <w:b w:val="0"/>
          <w:bCs w:val="0"/>
          <w:lang w:val="en-GB"/>
        </w:rPr>
        <w:t>.7. financing</w:t>
      </w:r>
    </w:p>
    <w:p w14:paraId="124FFB86" w14:textId="498AEAE9" w:rsidR="00827D29" w:rsidRPr="0000169A" w:rsidRDefault="00827D29" w:rsidP="00173B7B">
      <w:pPr>
        <w:spacing w:after="120"/>
        <w:jc w:val="both"/>
        <w:rPr>
          <w:rFonts w:cs="TT267t00"/>
          <w:lang w:val="en-GB"/>
        </w:rPr>
      </w:pPr>
      <w:r w:rsidRPr="0000169A">
        <w:rPr>
          <w:rFonts w:cs="TT267t00"/>
          <w:lang w:val="en-GB"/>
        </w:rPr>
        <w:t xml:space="preserve">Input funding commitments and anticipated funds towards the program in the </w:t>
      </w:r>
      <w:r w:rsidRPr="0000169A">
        <w:rPr>
          <w:rFonts w:cs="TT267t00"/>
          <w:i/>
          <w:iCs/>
          <w:lang w:val="en-GB"/>
        </w:rPr>
        <w:t>Financing</w:t>
      </w:r>
      <w:r w:rsidR="002176C0" w:rsidRPr="0000169A">
        <w:rPr>
          <w:rFonts w:cs="TT267t00"/>
          <w:lang w:val="en-GB"/>
        </w:rPr>
        <w:t xml:space="preserve"> </w:t>
      </w:r>
      <w:r w:rsidR="00797926" w:rsidRPr="0000169A">
        <w:rPr>
          <w:rFonts w:cs="TT267t00"/>
          <w:lang w:val="en-GB"/>
        </w:rPr>
        <w:t>worksheet</w:t>
      </w:r>
      <w:r w:rsidRPr="0000169A">
        <w:rPr>
          <w:rFonts w:cs="TT267t00"/>
          <w:lang w:val="en-GB"/>
        </w:rPr>
        <w:t>.</w:t>
      </w:r>
    </w:p>
    <w:p w14:paraId="21710492" w14:textId="7DFE1CFE" w:rsidR="00827D29" w:rsidRPr="0000169A" w:rsidRDefault="00827D29" w:rsidP="00827D29">
      <w:pPr>
        <w:pStyle w:val="ListParagraph"/>
        <w:numPr>
          <w:ilvl w:val="0"/>
          <w:numId w:val="15"/>
        </w:numPr>
        <w:spacing w:after="120"/>
        <w:ind w:left="648" w:hanging="288"/>
        <w:jc w:val="both"/>
        <w:rPr>
          <w:lang w:val="en-GB"/>
        </w:rPr>
      </w:pPr>
      <w:r w:rsidRPr="0000169A">
        <w:rPr>
          <w:b/>
          <w:bCs/>
          <w:lang w:val="en-GB"/>
        </w:rPr>
        <w:t xml:space="preserve">Financing Summary </w:t>
      </w:r>
      <w:r w:rsidRPr="0000169A">
        <w:rPr>
          <w:i/>
          <w:iCs/>
          <w:lang w:val="en-GB"/>
        </w:rPr>
        <w:t xml:space="preserve">(Column B to </w:t>
      </w:r>
      <w:r w:rsidR="00797926" w:rsidRPr="0000169A">
        <w:rPr>
          <w:i/>
          <w:iCs/>
          <w:lang w:val="en-GB"/>
        </w:rPr>
        <w:t>E</w:t>
      </w:r>
      <w:r w:rsidRPr="0000169A">
        <w:rPr>
          <w:i/>
          <w:iCs/>
          <w:lang w:val="en-GB"/>
        </w:rPr>
        <w:t>):</w:t>
      </w:r>
      <w:r w:rsidRPr="0000169A">
        <w:rPr>
          <w:lang w:val="en-GB"/>
        </w:rPr>
        <w:t xml:space="preserve"> for each line, </w:t>
      </w:r>
    </w:p>
    <w:p w14:paraId="07C9140F" w14:textId="69B0410A" w:rsidR="00827D29" w:rsidRPr="0000169A" w:rsidRDefault="00827D29" w:rsidP="00827D29">
      <w:pPr>
        <w:pStyle w:val="ListParagraph"/>
        <w:numPr>
          <w:ilvl w:val="0"/>
          <w:numId w:val="13"/>
        </w:numPr>
        <w:spacing w:after="0"/>
        <w:contextualSpacing w:val="0"/>
        <w:jc w:val="both"/>
        <w:rPr>
          <w:lang w:val="en-GB"/>
        </w:rPr>
      </w:pPr>
      <w:r w:rsidRPr="0000169A">
        <w:rPr>
          <w:i/>
          <w:iCs/>
          <w:lang w:val="en-GB"/>
        </w:rPr>
        <w:t>Column B</w:t>
      </w:r>
      <w:r w:rsidRPr="0000169A">
        <w:rPr>
          <w:lang w:val="en-GB"/>
        </w:rPr>
        <w:t xml:space="preserve">: Select the name of a donor contributing to the program financing in the dropdown list. The dropdown list is based on the name of donors entered in the </w:t>
      </w:r>
      <w:r w:rsidR="007B675A" w:rsidRPr="0000169A">
        <w:rPr>
          <w:i/>
          <w:iCs/>
          <w:lang w:val="en-GB"/>
        </w:rPr>
        <w:t>Parameters</w:t>
      </w:r>
      <w:r w:rsidRPr="0000169A">
        <w:rPr>
          <w:lang w:val="en-GB"/>
        </w:rPr>
        <w:t xml:space="preserve"> </w:t>
      </w:r>
      <w:r w:rsidR="007B675A" w:rsidRPr="0000169A">
        <w:rPr>
          <w:lang w:val="en-GB"/>
        </w:rPr>
        <w:t>work</w:t>
      </w:r>
      <w:r w:rsidRPr="0000169A">
        <w:rPr>
          <w:lang w:val="en-GB"/>
        </w:rPr>
        <w:t>sheet, section I</w:t>
      </w:r>
      <w:r w:rsidR="007B675A" w:rsidRPr="0000169A">
        <w:rPr>
          <w:lang w:val="en-GB"/>
        </w:rPr>
        <w:t>V</w:t>
      </w:r>
      <w:r w:rsidRPr="0000169A">
        <w:rPr>
          <w:lang w:val="en-GB"/>
        </w:rPr>
        <w:t>. Sources of Financing.</w:t>
      </w:r>
    </w:p>
    <w:p w14:paraId="48132DB5" w14:textId="775F3DF4" w:rsidR="00827D29" w:rsidRPr="0000169A" w:rsidRDefault="00827D29" w:rsidP="00827D29">
      <w:pPr>
        <w:pStyle w:val="ListParagraph"/>
        <w:numPr>
          <w:ilvl w:val="0"/>
          <w:numId w:val="13"/>
        </w:numPr>
        <w:spacing w:after="0"/>
        <w:contextualSpacing w:val="0"/>
        <w:jc w:val="both"/>
        <w:rPr>
          <w:lang w:val="en-GB"/>
        </w:rPr>
      </w:pPr>
      <w:r w:rsidRPr="0000169A">
        <w:rPr>
          <w:i/>
          <w:iCs/>
          <w:lang w:val="en-GB"/>
        </w:rPr>
        <w:t xml:space="preserve">Column </w:t>
      </w:r>
      <w:r w:rsidR="00797926" w:rsidRPr="0000169A">
        <w:rPr>
          <w:i/>
          <w:iCs/>
          <w:lang w:val="en-GB"/>
        </w:rPr>
        <w:t>D</w:t>
      </w:r>
      <w:r w:rsidRPr="0000169A">
        <w:rPr>
          <w:lang w:val="en-GB"/>
        </w:rPr>
        <w:t xml:space="preserve">: Select the cost category covered by the donor funding in the dropdown list. </w:t>
      </w:r>
    </w:p>
    <w:p w14:paraId="4A9CEAFC" w14:textId="64DCDF86" w:rsidR="007B675A" w:rsidRPr="0000169A" w:rsidRDefault="00827D29" w:rsidP="007B675A">
      <w:pPr>
        <w:pStyle w:val="ListParagraph"/>
        <w:numPr>
          <w:ilvl w:val="0"/>
          <w:numId w:val="13"/>
        </w:numPr>
        <w:spacing w:after="0"/>
        <w:contextualSpacing w:val="0"/>
        <w:jc w:val="both"/>
        <w:rPr>
          <w:lang w:val="en-GB"/>
        </w:rPr>
      </w:pPr>
      <w:r w:rsidRPr="0000169A">
        <w:rPr>
          <w:i/>
          <w:iCs/>
          <w:lang w:val="en-GB"/>
        </w:rPr>
        <w:t xml:space="preserve">Column </w:t>
      </w:r>
      <w:r w:rsidR="00797926" w:rsidRPr="0000169A">
        <w:rPr>
          <w:i/>
          <w:iCs/>
          <w:lang w:val="en-GB"/>
        </w:rPr>
        <w:t>E</w:t>
      </w:r>
      <w:r w:rsidRPr="0000169A">
        <w:rPr>
          <w:lang w:val="en-GB"/>
        </w:rPr>
        <w:t xml:space="preserve">: Select in the dropdown list whether the funding amount will be reported as a percentage of the total cost (%) or as a discrete amount (Amount). </w:t>
      </w:r>
    </w:p>
    <w:p w14:paraId="3C75C568" w14:textId="36007533" w:rsidR="00827D29" w:rsidRPr="0000169A" w:rsidRDefault="00827D29" w:rsidP="002273CA">
      <w:pPr>
        <w:spacing w:after="0"/>
        <w:ind w:left="360"/>
        <w:jc w:val="both"/>
        <w:rPr>
          <w:lang w:val="en-GB"/>
        </w:rPr>
      </w:pPr>
      <w:r w:rsidRPr="0000169A">
        <w:rPr>
          <w:lang w:val="en-GB"/>
        </w:rPr>
        <w:t>A donor name can appear several times if it funds several cost categories.</w:t>
      </w:r>
    </w:p>
    <w:p w14:paraId="0D22ED4B" w14:textId="6E7EF939" w:rsidR="00827D29" w:rsidRPr="0000169A" w:rsidRDefault="00827D29" w:rsidP="00243A2F">
      <w:pPr>
        <w:pStyle w:val="pf0"/>
        <w:numPr>
          <w:ilvl w:val="0"/>
          <w:numId w:val="15"/>
        </w:numPr>
        <w:spacing w:after="0" w:afterAutospacing="0"/>
        <w:jc w:val="both"/>
        <w:rPr>
          <w:rFonts w:asciiTheme="minorHAnsi" w:eastAsiaTheme="minorHAnsi" w:hAnsiTheme="minorHAnsi" w:cstheme="minorBidi"/>
          <w:sz w:val="22"/>
          <w:szCs w:val="22"/>
          <w:lang w:val="en-GB"/>
        </w:rPr>
      </w:pPr>
      <w:r w:rsidRPr="0000169A">
        <w:rPr>
          <w:rFonts w:asciiTheme="minorHAnsi" w:eastAsiaTheme="minorHAnsi" w:hAnsiTheme="minorHAnsi" w:cstheme="minorBidi"/>
          <w:b/>
          <w:bCs/>
          <w:sz w:val="22"/>
          <w:szCs w:val="22"/>
          <w:lang w:val="en-GB"/>
        </w:rPr>
        <w:t>Fixed commitments</w:t>
      </w:r>
      <w:r w:rsidRPr="0000169A">
        <w:rPr>
          <w:rFonts w:asciiTheme="minorHAnsi" w:eastAsiaTheme="minorHAnsi" w:hAnsiTheme="minorHAnsi" w:cstheme="minorBidi"/>
          <w:sz w:val="22"/>
          <w:szCs w:val="22"/>
          <w:lang w:val="en-GB"/>
        </w:rPr>
        <w:t xml:space="preserve"> </w:t>
      </w:r>
      <w:r w:rsidRPr="0000169A">
        <w:rPr>
          <w:rFonts w:asciiTheme="minorHAnsi" w:eastAsiaTheme="minorHAnsi" w:hAnsiTheme="minorHAnsi" w:cstheme="minorBidi"/>
          <w:i/>
          <w:iCs/>
          <w:sz w:val="22"/>
          <w:szCs w:val="22"/>
          <w:lang w:val="en-GB"/>
        </w:rPr>
        <w:t xml:space="preserve">(Column </w:t>
      </w:r>
      <w:r w:rsidR="00797926" w:rsidRPr="0000169A">
        <w:rPr>
          <w:rFonts w:asciiTheme="minorHAnsi" w:eastAsiaTheme="minorHAnsi" w:hAnsiTheme="minorHAnsi" w:cstheme="minorBidi"/>
          <w:i/>
          <w:iCs/>
          <w:sz w:val="22"/>
          <w:szCs w:val="22"/>
          <w:lang w:val="en-GB"/>
        </w:rPr>
        <w:t>G</w:t>
      </w:r>
      <w:r w:rsidRPr="0000169A">
        <w:rPr>
          <w:rFonts w:asciiTheme="minorHAnsi" w:eastAsiaTheme="minorHAnsi" w:hAnsiTheme="minorHAnsi" w:cstheme="minorBidi"/>
          <w:i/>
          <w:iCs/>
          <w:sz w:val="22"/>
          <w:szCs w:val="22"/>
          <w:lang w:val="en-GB"/>
        </w:rPr>
        <w:t xml:space="preserve"> to </w:t>
      </w:r>
      <w:r w:rsidR="00797926" w:rsidRPr="0000169A">
        <w:rPr>
          <w:rFonts w:asciiTheme="minorHAnsi" w:eastAsiaTheme="minorHAnsi" w:hAnsiTheme="minorHAnsi" w:cstheme="minorBidi"/>
          <w:i/>
          <w:iCs/>
          <w:sz w:val="22"/>
          <w:szCs w:val="22"/>
          <w:lang w:val="en-GB"/>
        </w:rPr>
        <w:t>L</w:t>
      </w:r>
      <w:r w:rsidRPr="0000169A">
        <w:rPr>
          <w:rFonts w:asciiTheme="minorHAnsi" w:eastAsiaTheme="minorHAnsi" w:hAnsiTheme="minorHAnsi" w:cstheme="minorBidi"/>
          <w:i/>
          <w:iCs/>
          <w:sz w:val="22"/>
          <w:szCs w:val="22"/>
          <w:lang w:val="en-GB"/>
        </w:rPr>
        <w:t>):</w:t>
      </w:r>
      <w:r w:rsidRPr="0000169A">
        <w:rPr>
          <w:rFonts w:asciiTheme="minorHAnsi" w:eastAsiaTheme="minorHAnsi" w:hAnsiTheme="minorHAnsi" w:cstheme="minorBidi"/>
          <w:sz w:val="22"/>
          <w:szCs w:val="22"/>
          <w:lang w:val="en-GB"/>
        </w:rPr>
        <w:t xml:space="preserve"> for each year, enter either the amount provided by the donor for each cost category, or the share of the total cost covered.</w:t>
      </w:r>
    </w:p>
    <w:p w14:paraId="74907A22" w14:textId="20DD32AF" w:rsidR="001F50A3" w:rsidRPr="0000169A" w:rsidRDefault="00827D29" w:rsidP="001F50A3">
      <w:pPr>
        <w:pStyle w:val="pf0"/>
        <w:numPr>
          <w:ilvl w:val="0"/>
          <w:numId w:val="15"/>
        </w:numPr>
        <w:jc w:val="both"/>
        <w:rPr>
          <w:rFonts w:asciiTheme="minorHAnsi" w:eastAsiaTheme="minorHAnsi" w:hAnsiTheme="minorHAnsi" w:cstheme="minorBidi"/>
          <w:sz w:val="22"/>
          <w:szCs w:val="22"/>
          <w:lang w:val="en-GB"/>
        </w:rPr>
      </w:pPr>
      <w:r w:rsidRPr="0000169A">
        <w:rPr>
          <w:rFonts w:asciiTheme="minorHAnsi" w:eastAsiaTheme="minorHAnsi" w:hAnsiTheme="minorHAnsi" w:cstheme="minorBidi"/>
          <w:b/>
          <w:bCs/>
          <w:sz w:val="22"/>
          <w:szCs w:val="22"/>
          <w:lang w:val="en-GB"/>
        </w:rPr>
        <w:t>Financing by donor</w:t>
      </w:r>
      <w:r w:rsidRPr="0000169A">
        <w:rPr>
          <w:rFonts w:asciiTheme="minorHAnsi" w:eastAsiaTheme="minorHAnsi" w:hAnsiTheme="minorHAnsi" w:cstheme="minorBidi"/>
          <w:sz w:val="22"/>
          <w:szCs w:val="22"/>
          <w:lang w:val="en-GB"/>
        </w:rPr>
        <w:t xml:space="preserve"> </w:t>
      </w:r>
      <w:r w:rsidRPr="0000169A">
        <w:rPr>
          <w:rFonts w:asciiTheme="minorHAnsi" w:eastAsiaTheme="minorHAnsi" w:hAnsiTheme="minorHAnsi" w:cstheme="minorBidi"/>
          <w:i/>
          <w:iCs/>
          <w:sz w:val="22"/>
          <w:szCs w:val="22"/>
          <w:lang w:val="en-GB"/>
        </w:rPr>
        <w:t xml:space="preserve">(Column </w:t>
      </w:r>
      <w:r w:rsidR="00797926" w:rsidRPr="0000169A">
        <w:rPr>
          <w:rFonts w:asciiTheme="minorHAnsi" w:eastAsiaTheme="minorHAnsi" w:hAnsiTheme="minorHAnsi" w:cstheme="minorBidi"/>
          <w:i/>
          <w:iCs/>
          <w:sz w:val="22"/>
          <w:szCs w:val="22"/>
          <w:lang w:val="en-GB"/>
        </w:rPr>
        <w:t>N</w:t>
      </w:r>
      <w:r w:rsidRPr="0000169A">
        <w:rPr>
          <w:rFonts w:asciiTheme="minorHAnsi" w:eastAsiaTheme="minorHAnsi" w:hAnsiTheme="minorHAnsi" w:cstheme="minorBidi"/>
          <w:i/>
          <w:iCs/>
          <w:sz w:val="22"/>
          <w:szCs w:val="22"/>
          <w:lang w:val="en-GB"/>
        </w:rPr>
        <w:t xml:space="preserve"> to </w:t>
      </w:r>
      <w:r w:rsidR="00797926" w:rsidRPr="0000169A">
        <w:rPr>
          <w:rFonts w:asciiTheme="minorHAnsi" w:eastAsiaTheme="minorHAnsi" w:hAnsiTheme="minorHAnsi" w:cstheme="minorBidi"/>
          <w:i/>
          <w:iCs/>
          <w:sz w:val="22"/>
          <w:szCs w:val="22"/>
          <w:lang w:val="en-GB"/>
        </w:rPr>
        <w:t>S</w:t>
      </w:r>
      <w:r w:rsidRPr="0000169A">
        <w:rPr>
          <w:rFonts w:asciiTheme="minorHAnsi" w:eastAsiaTheme="minorHAnsi" w:hAnsiTheme="minorHAnsi" w:cstheme="minorBidi"/>
          <w:i/>
          <w:iCs/>
          <w:sz w:val="22"/>
          <w:szCs w:val="22"/>
          <w:lang w:val="en-GB"/>
        </w:rPr>
        <w:t>)</w:t>
      </w:r>
      <w:r w:rsidRPr="0000169A">
        <w:rPr>
          <w:rFonts w:asciiTheme="minorHAnsi" w:eastAsiaTheme="minorHAnsi" w:hAnsiTheme="minorHAnsi" w:cstheme="minorBidi"/>
          <w:sz w:val="22"/>
          <w:szCs w:val="22"/>
          <w:lang w:val="en-GB"/>
        </w:rPr>
        <w:t>: this section automatically generates the amount contributed by each donor, by cost category and by year. To</w:t>
      </w:r>
      <w:r w:rsidR="002176C0" w:rsidRPr="0000169A">
        <w:rPr>
          <w:rFonts w:asciiTheme="minorHAnsi" w:eastAsiaTheme="minorHAnsi" w:hAnsiTheme="minorHAnsi" w:cstheme="minorBidi"/>
          <w:sz w:val="22"/>
          <w:szCs w:val="22"/>
          <w:lang w:val="en-GB"/>
        </w:rPr>
        <w:t xml:space="preserve"> view the </w:t>
      </w:r>
      <w:r w:rsidRPr="0000169A">
        <w:rPr>
          <w:rFonts w:asciiTheme="minorHAnsi" w:eastAsiaTheme="minorHAnsi" w:hAnsiTheme="minorHAnsi" w:cstheme="minorBidi"/>
          <w:sz w:val="22"/>
          <w:szCs w:val="22"/>
          <w:lang w:val="en-GB"/>
        </w:rPr>
        <w:t xml:space="preserve">summary table with the total cost amount covered by each donor, refer to the </w:t>
      </w:r>
      <w:proofErr w:type="spellStart"/>
      <w:r w:rsidRPr="0000169A">
        <w:rPr>
          <w:rFonts w:asciiTheme="minorHAnsi" w:eastAsiaTheme="minorHAnsi" w:hAnsiTheme="minorHAnsi" w:cstheme="minorBidi"/>
          <w:i/>
          <w:iCs/>
          <w:sz w:val="22"/>
          <w:szCs w:val="22"/>
          <w:lang w:val="en-GB"/>
        </w:rPr>
        <w:t>Summary_Tables</w:t>
      </w:r>
      <w:proofErr w:type="spellEnd"/>
      <w:r w:rsidR="002176C0" w:rsidRPr="0000169A">
        <w:rPr>
          <w:rFonts w:asciiTheme="minorHAnsi" w:eastAsiaTheme="minorHAnsi" w:hAnsiTheme="minorHAnsi" w:cstheme="minorBidi"/>
          <w:sz w:val="22"/>
          <w:szCs w:val="22"/>
          <w:lang w:val="en-GB"/>
        </w:rPr>
        <w:t xml:space="preserve"> </w:t>
      </w:r>
      <w:r w:rsidR="00575F1B" w:rsidRPr="0000169A">
        <w:rPr>
          <w:rFonts w:asciiTheme="minorHAnsi" w:eastAsiaTheme="minorHAnsi" w:hAnsiTheme="minorHAnsi" w:cstheme="minorBidi"/>
          <w:sz w:val="22"/>
          <w:szCs w:val="22"/>
          <w:lang w:val="en-GB"/>
        </w:rPr>
        <w:t>worksheet</w:t>
      </w:r>
      <w:r w:rsidRPr="0000169A">
        <w:rPr>
          <w:rFonts w:asciiTheme="minorHAnsi" w:eastAsiaTheme="minorHAnsi" w:hAnsiTheme="minorHAnsi" w:cstheme="minorBidi"/>
          <w:sz w:val="22"/>
          <w:szCs w:val="22"/>
          <w:lang w:val="en-GB"/>
        </w:rPr>
        <w:t xml:space="preserve">. </w:t>
      </w:r>
    </w:p>
    <w:p w14:paraId="56F0CBAF" w14:textId="219225B7" w:rsidR="00AB7A43" w:rsidRDefault="00916410" w:rsidP="009C7BB9">
      <w:pPr>
        <w:pStyle w:val="Heading1"/>
        <w:rPr>
          <w:lang w:val="en-GB"/>
        </w:rPr>
      </w:pPr>
      <w:r>
        <w:rPr>
          <w:lang w:val="en-GB"/>
        </w:rPr>
        <w:t>7</w:t>
      </w:r>
      <w:r w:rsidR="00371706" w:rsidRPr="0000169A">
        <w:rPr>
          <w:lang w:val="en-GB"/>
        </w:rPr>
        <w:t xml:space="preserve">. </w:t>
      </w:r>
      <w:r w:rsidR="005E1430" w:rsidRPr="0000169A">
        <w:rPr>
          <w:lang w:val="en-GB"/>
        </w:rPr>
        <w:t>Results</w:t>
      </w:r>
      <w:r w:rsidR="00371706" w:rsidRPr="0000169A">
        <w:rPr>
          <w:lang w:val="en-GB"/>
        </w:rPr>
        <w:t xml:space="preserve"> summary</w:t>
      </w:r>
      <w:r w:rsidR="002D0262" w:rsidRPr="0000169A">
        <w:rPr>
          <w:lang w:val="en-GB"/>
        </w:rPr>
        <w:t xml:space="preserve"> (SUMMARY TABS)</w:t>
      </w:r>
    </w:p>
    <w:p w14:paraId="32CB99E1" w14:textId="47DB2394" w:rsidR="0000169A" w:rsidRDefault="0000169A" w:rsidP="0000169A">
      <w:pPr>
        <w:spacing w:after="0"/>
        <w:rPr>
          <w:lang w:val="en-GB"/>
        </w:rPr>
      </w:pPr>
    </w:p>
    <w:tbl>
      <w:tblPr>
        <w:tblStyle w:val="TableGrid"/>
        <w:tblW w:w="0" w:type="auto"/>
        <w:tblBorders>
          <w:insideH w:val="single" w:sz="4" w:space="0" w:color="A6A6A6" w:themeColor="background1" w:themeShade="A6"/>
          <w:insideV w:val="single" w:sz="4" w:space="0" w:color="7F7F7F" w:themeColor="text1" w:themeTint="80"/>
        </w:tblBorders>
        <w:tblLook w:val="04A0" w:firstRow="1" w:lastRow="0" w:firstColumn="1" w:lastColumn="0" w:noHBand="0" w:noVBand="1"/>
      </w:tblPr>
      <w:tblGrid>
        <w:gridCol w:w="2065"/>
        <w:gridCol w:w="1890"/>
        <w:gridCol w:w="855"/>
        <w:gridCol w:w="2021"/>
      </w:tblGrid>
      <w:tr w:rsidR="0000169A" w:rsidRPr="0000169A" w14:paraId="235EFEA0" w14:textId="77777777" w:rsidTr="0000169A">
        <w:tc>
          <w:tcPr>
            <w:tcW w:w="2065" w:type="dxa"/>
            <w:shd w:val="clear" w:color="auto" w:fill="FFC000"/>
          </w:tcPr>
          <w:p w14:paraId="7DCC8F72" w14:textId="11772AE9" w:rsidR="0000169A" w:rsidRPr="0000169A" w:rsidRDefault="0000169A" w:rsidP="00E838C8">
            <w:pPr>
              <w:rPr>
                <w:rFonts w:cs="TT267t00"/>
                <w:color w:val="000000" w:themeColor="text1"/>
              </w:rPr>
            </w:pPr>
            <w:r>
              <w:rPr>
                <w:rFonts w:cs="TT267t00"/>
                <w:smallCaps/>
                <w:color w:val="000000" w:themeColor="text1"/>
              </w:rPr>
              <w:t xml:space="preserve">SUMMARY TABS </w:t>
            </w:r>
            <w:r w:rsidRPr="0000169A">
              <w:rPr>
                <w:rFonts w:cs="TT267t00"/>
                <w:color w:val="000000" w:themeColor="text1"/>
              </w:rPr>
              <w:t>-&gt;</w:t>
            </w:r>
          </w:p>
        </w:tc>
        <w:tc>
          <w:tcPr>
            <w:tcW w:w="1890" w:type="dxa"/>
            <w:shd w:val="clear" w:color="auto" w:fill="FFC000"/>
          </w:tcPr>
          <w:p w14:paraId="2BA81462" w14:textId="356F0426" w:rsidR="0000169A" w:rsidRPr="0000169A" w:rsidRDefault="0000169A" w:rsidP="00E838C8">
            <w:pPr>
              <w:rPr>
                <w:rFonts w:cs="TT267t00"/>
                <w:color w:val="000000" w:themeColor="text1"/>
              </w:rPr>
            </w:pPr>
            <w:proofErr w:type="spellStart"/>
            <w:r>
              <w:rPr>
                <w:rFonts w:cs="TT267t00"/>
                <w:color w:val="000000" w:themeColor="text1"/>
              </w:rPr>
              <w:t>Summary_Tables</w:t>
            </w:r>
            <w:proofErr w:type="spellEnd"/>
          </w:p>
        </w:tc>
        <w:tc>
          <w:tcPr>
            <w:tcW w:w="855" w:type="dxa"/>
            <w:shd w:val="clear" w:color="auto" w:fill="FFC000"/>
          </w:tcPr>
          <w:p w14:paraId="6A22B2C4" w14:textId="144F0DA5" w:rsidR="0000169A" w:rsidRPr="0000169A" w:rsidRDefault="0000169A" w:rsidP="00E838C8">
            <w:pPr>
              <w:rPr>
                <w:rFonts w:cs="TT267t00"/>
                <w:color w:val="000000" w:themeColor="text1"/>
              </w:rPr>
            </w:pPr>
            <w:r>
              <w:rPr>
                <w:rFonts w:cs="TT267t00"/>
                <w:color w:val="000000" w:themeColor="text1"/>
              </w:rPr>
              <w:t>Graphs</w:t>
            </w:r>
          </w:p>
        </w:tc>
        <w:tc>
          <w:tcPr>
            <w:tcW w:w="2021" w:type="dxa"/>
            <w:shd w:val="clear" w:color="auto" w:fill="FFC000"/>
          </w:tcPr>
          <w:p w14:paraId="5030E7C3" w14:textId="77777777" w:rsidR="0000169A" w:rsidRPr="0000169A" w:rsidRDefault="0000169A" w:rsidP="00E838C8">
            <w:pPr>
              <w:rPr>
                <w:rFonts w:cs="TT267t00"/>
                <w:color w:val="000000" w:themeColor="text1"/>
              </w:rPr>
            </w:pPr>
            <w:r w:rsidRPr="0000169A">
              <w:rPr>
                <w:rFonts w:cs="TT267t00"/>
                <w:color w:val="000000" w:themeColor="text1"/>
              </w:rPr>
              <w:t>Equipment</w:t>
            </w:r>
          </w:p>
        </w:tc>
      </w:tr>
    </w:tbl>
    <w:p w14:paraId="3CF0D29C" w14:textId="77777777" w:rsidR="0000169A" w:rsidRPr="0000169A" w:rsidRDefault="0000169A" w:rsidP="0000169A">
      <w:pPr>
        <w:spacing w:after="0"/>
        <w:rPr>
          <w:lang w:val="en-GB"/>
        </w:rPr>
      </w:pPr>
    </w:p>
    <w:p w14:paraId="6C8CEE39" w14:textId="5FF733A6" w:rsidR="00D73691" w:rsidRPr="0000169A" w:rsidRDefault="0083770C" w:rsidP="005D4A58">
      <w:pPr>
        <w:rPr>
          <w:rFonts w:cs="TT267t00"/>
          <w:lang w:val="en-GB"/>
        </w:rPr>
      </w:pPr>
      <w:r w:rsidRPr="0000169A">
        <w:rPr>
          <w:rFonts w:cs="TT267t00"/>
          <w:lang w:val="en-GB"/>
        </w:rPr>
        <w:t xml:space="preserve">Contains a summary of the program costs for </w:t>
      </w:r>
      <w:r w:rsidR="001B5318" w:rsidRPr="0000169A">
        <w:rPr>
          <w:rFonts w:cs="TT267t00"/>
          <w:lang w:val="en-GB"/>
        </w:rPr>
        <w:t>the selected scale-up period</w:t>
      </w:r>
      <w:r w:rsidR="00575F1B" w:rsidRPr="0000169A">
        <w:rPr>
          <w:rFonts w:cs="TT267t00"/>
          <w:lang w:val="en-GB"/>
        </w:rPr>
        <w:t>.</w:t>
      </w:r>
    </w:p>
    <w:p w14:paraId="1487D53A" w14:textId="4D658B06" w:rsidR="00AB7A43" w:rsidRPr="0000169A" w:rsidRDefault="00916410" w:rsidP="00AB7A43">
      <w:pPr>
        <w:rPr>
          <w:rStyle w:val="IntenseReference"/>
          <w:b w:val="0"/>
          <w:bCs w:val="0"/>
          <w:lang w:val="en-GB"/>
        </w:rPr>
      </w:pPr>
      <w:r>
        <w:rPr>
          <w:rStyle w:val="IntenseReference"/>
          <w:b w:val="0"/>
          <w:bCs w:val="0"/>
          <w:lang w:val="en-GB"/>
        </w:rPr>
        <w:t>7</w:t>
      </w:r>
      <w:r w:rsidR="00AB7A43" w:rsidRPr="0000169A">
        <w:rPr>
          <w:rStyle w:val="IntenseReference"/>
          <w:b w:val="0"/>
          <w:bCs w:val="0"/>
          <w:lang w:val="en-GB"/>
        </w:rPr>
        <w:t xml:space="preserve">.1. Summary tables </w:t>
      </w:r>
    </w:p>
    <w:p w14:paraId="5326D4D8" w14:textId="5CE00DCD" w:rsidR="00AB7A43" w:rsidRPr="0000169A" w:rsidRDefault="00AB7A43" w:rsidP="0083770C">
      <w:pPr>
        <w:jc w:val="both"/>
        <w:rPr>
          <w:lang w:val="en-GB"/>
        </w:rPr>
      </w:pPr>
      <w:r w:rsidRPr="0000169A">
        <w:rPr>
          <w:lang w:val="en-GB"/>
        </w:rPr>
        <w:t>In cell B3, select in the dropdown list whether you want to see the summary budget displayed in local currency or USD.</w:t>
      </w:r>
      <w:r w:rsidR="001F0917" w:rsidRPr="0000169A">
        <w:rPr>
          <w:lang w:val="en-GB"/>
        </w:rPr>
        <w:t xml:space="preserve"> The tables below</w:t>
      </w:r>
      <w:r w:rsidR="00CE5528" w:rsidRPr="0000169A">
        <w:rPr>
          <w:lang w:val="en-GB"/>
        </w:rPr>
        <w:t xml:space="preserve"> are automatically calculated.</w:t>
      </w:r>
      <w:r w:rsidR="001F0917" w:rsidRPr="0000169A">
        <w:rPr>
          <w:lang w:val="en-GB"/>
        </w:rPr>
        <w:t xml:space="preserve"> </w:t>
      </w:r>
    </w:p>
    <w:p w14:paraId="5898CF2E" w14:textId="2F3B5122" w:rsidR="001849AC" w:rsidRPr="0000169A" w:rsidRDefault="001849AC" w:rsidP="00571F3E">
      <w:pPr>
        <w:pStyle w:val="ListParagraph"/>
        <w:numPr>
          <w:ilvl w:val="0"/>
          <w:numId w:val="19"/>
        </w:numPr>
        <w:spacing w:after="0"/>
        <w:contextualSpacing w:val="0"/>
        <w:jc w:val="both"/>
        <w:rPr>
          <w:b/>
          <w:bCs/>
          <w:lang w:val="en-GB"/>
        </w:rPr>
      </w:pPr>
      <w:r w:rsidRPr="0000169A">
        <w:rPr>
          <w:b/>
          <w:bCs/>
          <w:lang w:val="en-GB"/>
        </w:rPr>
        <w:t xml:space="preserve">Number of HCWs: </w:t>
      </w:r>
      <w:r w:rsidRPr="0000169A">
        <w:rPr>
          <w:lang w:val="en-GB"/>
        </w:rPr>
        <w:t xml:space="preserve">this table provides an overview of the </w:t>
      </w:r>
      <w:r w:rsidR="000E68A7" w:rsidRPr="0000169A">
        <w:rPr>
          <w:lang w:val="en-GB"/>
        </w:rPr>
        <w:t>HCWs required by forecast year.</w:t>
      </w:r>
    </w:p>
    <w:p w14:paraId="5B9A5141" w14:textId="409C373D" w:rsidR="001849AC" w:rsidRPr="0000169A" w:rsidRDefault="001849AC" w:rsidP="00571F3E">
      <w:pPr>
        <w:pStyle w:val="ListParagraph"/>
        <w:numPr>
          <w:ilvl w:val="0"/>
          <w:numId w:val="19"/>
        </w:numPr>
        <w:spacing w:after="0"/>
        <w:contextualSpacing w:val="0"/>
        <w:jc w:val="both"/>
        <w:rPr>
          <w:b/>
          <w:bCs/>
          <w:lang w:val="en-GB"/>
        </w:rPr>
      </w:pPr>
      <w:r w:rsidRPr="0000169A">
        <w:rPr>
          <w:b/>
          <w:bCs/>
          <w:lang w:val="en-GB"/>
        </w:rPr>
        <w:t xml:space="preserve">Number of services by category: </w:t>
      </w:r>
      <w:r w:rsidRPr="0000169A">
        <w:rPr>
          <w:lang w:val="en-GB"/>
        </w:rPr>
        <w:t xml:space="preserve">this table provides an overview of the total number of services provided disaggregated by service type. </w:t>
      </w:r>
    </w:p>
    <w:p w14:paraId="62C2743F" w14:textId="14F365E5" w:rsidR="00CD136B" w:rsidRPr="0000169A" w:rsidRDefault="00AB7A43" w:rsidP="00571F3E">
      <w:pPr>
        <w:pStyle w:val="ListParagraph"/>
        <w:numPr>
          <w:ilvl w:val="0"/>
          <w:numId w:val="19"/>
        </w:numPr>
        <w:spacing w:after="0"/>
        <w:contextualSpacing w:val="0"/>
        <w:jc w:val="both"/>
        <w:rPr>
          <w:lang w:val="en-GB"/>
        </w:rPr>
      </w:pPr>
      <w:r w:rsidRPr="0000169A">
        <w:rPr>
          <w:b/>
          <w:bCs/>
          <w:lang w:val="en-GB"/>
        </w:rPr>
        <w:t>Cost</w:t>
      </w:r>
      <w:r w:rsidR="004B6F1B" w:rsidRPr="0000169A">
        <w:rPr>
          <w:b/>
          <w:bCs/>
          <w:lang w:val="en-GB"/>
        </w:rPr>
        <w:t xml:space="preserve"> by cost</w:t>
      </w:r>
      <w:r w:rsidR="00EC3FC3" w:rsidRPr="0000169A">
        <w:rPr>
          <w:b/>
          <w:bCs/>
          <w:lang w:val="en-GB"/>
        </w:rPr>
        <w:t xml:space="preserve"> </w:t>
      </w:r>
      <w:r w:rsidR="004B6F1B" w:rsidRPr="0000169A">
        <w:rPr>
          <w:b/>
          <w:bCs/>
          <w:lang w:val="en-GB"/>
        </w:rPr>
        <w:t>category</w:t>
      </w:r>
      <w:r w:rsidR="00CD136B" w:rsidRPr="0000169A">
        <w:rPr>
          <w:b/>
          <w:bCs/>
          <w:lang w:val="en-GB"/>
        </w:rPr>
        <w:t>:</w:t>
      </w:r>
      <w:r w:rsidR="00CD136B" w:rsidRPr="0000169A">
        <w:rPr>
          <w:lang w:val="en-GB"/>
        </w:rPr>
        <w:t xml:space="preserve"> </w:t>
      </w:r>
      <w:r w:rsidR="001F0917" w:rsidRPr="0000169A">
        <w:rPr>
          <w:lang w:val="en-GB"/>
        </w:rPr>
        <w:t>this table provides an overview</w:t>
      </w:r>
      <w:r w:rsidR="00CE5528" w:rsidRPr="0000169A">
        <w:rPr>
          <w:lang w:val="en-GB"/>
        </w:rPr>
        <w:t xml:space="preserve"> of the total cost of the program by cost category and by forecast year.</w:t>
      </w:r>
      <w:r w:rsidR="001F0917" w:rsidRPr="0000169A">
        <w:rPr>
          <w:lang w:val="en-GB"/>
        </w:rPr>
        <w:t xml:space="preserve">  </w:t>
      </w:r>
    </w:p>
    <w:p w14:paraId="612B749D" w14:textId="3F91549D" w:rsidR="00AB7A43" w:rsidRPr="0000169A" w:rsidRDefault="00AB7A43" w:rsidP="00571F3E">
      <w:pPr>
        <w:pStyle w:val="ListParagraph"/>
        <w:numPr>
          <w:ilvl w:val="0"/>
          <w:numId w:val="19"/>
        </w:numPr>
        <w:spacing w:after="0"/>
        <w:contextualSpacing w:val="0"/>
        <w:jc w:val="both"/>
        <w:rPr>
          <w:lang w:val="en-GB"/>
        </w:rPr>
      </w:pPr>
      <w:r w:rsidRPr="0000169A">
        <w:rPr>
          <w:b/>
          <w:bCs/>
          <w:lang w:val="en-GB"/>
        </w:rPr>
        <w:t>Funding</w:t>
      </w:r>
      <w:r w:rsidR="004B6F1B" w:rsidRPr="0000169A">
        <w:rPr>
          <w:b/>
          <w:bCs/>
          <w:lang w:val="en-GB"/>
        </w:rPr>
        <w:t xml:space="preserve"> by cost category</w:t>
      </w:r>
      <w:r w:rsidR="00CE5528" w:rsidRPr="0000169A">
        <w:rPr>
          <w:b/>
          <w:bCs/>
          <w:lang w:val="en-GB"/>
        </w:rPr>
        <w:t>:</w:t>
      </w:r>
      <w:r w:rsidR="00CE5528" w:rsidRPr="0000169A">
        <w:rPr>
          <w:lang w:val="en-GB"/>
        </w:rPr>
        <w:t xml:space="preserve"> this table provides an overview of the funding available for the program by cost category and by forecast year.  </w:t>
      </w:r>
    </w:p>
    <w:p w14:paraId="45E1F9BA" w14:textId="6C96EB28" w:rsidR="00AB7A43" w:rsidRPr="0000169A" w:rsidRDefault="00AB7A43" w:rsidP="00571F3E">
      <w:pPr>
        <w:pStyle w:val="ListParagraph"/>
        <w:numPr>
          <w:ilvl w:val="0"/>
          <w:numId w:val="19"/>
        </w:numPr>
        <w:spacing w:after="0"/>
        <w:contextualSpacing w:val="0"/>
        <w:jc w:val="both"/>
        <w:rPr>
          <w:lang w:val="en-GB"/>
        </w:rPr>
      </w:pPr>
      <w:r w:rsidRPr="0000169A">
        <w:rPr>
          <w:b/>
          <w:bCs/>
          <w:lang w:val="en-GB"/>
        </w:rPr>
        <w:lastRenderedPageBreak/>
        <w:t>Funding gap</w:t>
      </w:r>
      <w:r w:rsidR="004B6F1B" w:rsidRPr="0000169A">
        <w:rPr>
          <w:b/>
          <w:bCs/>
          <w:lang w:val="en-GB"/>
        </w:rPr>
        <w:t xml:space="preserve"> by cost category</w:t>
      </w:r>
      <w:r w:rsidR="00CE5528" w:rsidRPr="0000169A">
        <w:rPr>
          <w:b/>
          <w:bCs/>
          <w:lang w:val="en-GB"/>
        </w:rPr>
        <w:t>:</w:t>
      </w:r>
      <w:r w:rsidR="00CE5528" w:rsidRPr="0000169A">
        <w:rPr>
          <w:lang w:val="en-GB"/>
        </w:rPr>
        <w:t xml:space="preserve"> this table provides an overview of the gap between the program cost and the funding available for the program by cost category and by forecast year.</w:t>
      </w:r>
    </w:p>
    <w:p w14:paraId="67227850" w14:textId="075913A8" w:rsidR="00E07ABA" w:rsidRDefault="00AB7A43" w:rsidP="00571F3E">
      <w:pPr>
        <w:pStyle w:val="ListParagraph"/>
        <w:numPr>
          <w:ilvl w:val="0"/>
          <w:numId w:val="19"/>
        </w:numPr>
        <w:spacing w:after="0"/>
        <w:contextualSpacing w:val="0"/>
        <w:jc w:val="both"/>
        <w:rPr>
          <w:lang w:val="en-GB"/>
        </w:rPr>
      </w:pPr>
      <w:r w:rsidRPr="0000169A">
        <w:rPr>
          <w:b/>
          <w:bCs/>
          <w:lang w:val="en-GB"/>
        </w:rPr>
        <w:t>Funding</w:t>
      </w:r>
      <w:r w:rsidR="004B6F1B" w:rsidRPr="0000169A">
        <w:rPr>
          <w:b/>
          <w:bCs/>
          <w:lang w:val="en-GB"/>
        </w:rPr>
        <w:t xml:space="preserve"> by donor</w:t>
      </w:r>
      <w:r w:rsidR="00CE5528" w:rsidRPr="0000169A">
        <w:rPr>
          <w:b/>
          <w:bCs/>
          <w:lang w:val="en-GB"/>
        </w:rPr>
        <w:t>:</w:t>
      </w:r>
      <w:r w:rsidR="00CE5528" w:rsidRPr="0000169A">
        <w:rPr>
          <w:lang w:val="en-GB"/>
        </w:rPr>
        <w:t xml:space="preserve"> this table provides an overview of</w:t>
      </w:r>
      <w:r w:rsidR="00724E68" w:rsidRPr="0000169A">
        <w:rPr>
          <w:lang w:val="en-GB"/>
        </w:rPr>
        <w:t xml:space="preserve"> </w:t>
      </w:r>
      <w:r w:rsidR="00CE5528" w:rsidRPr="0000169A">
        <w:rPr>
          <w:lang w:val="en-GB"/>
        </w:rPr>
        <w:t>the funding available for the program b</w:t>
      </w:r>
      <w:r w:rsidR="00724E68" w:rsidRPr="0000169A">
        <w:rPr>
          <w:lang w:val="en-GB"/>
        </w:rPr>
        <w:t>y donor</w:t>
      </w:r>
      <w:r w:rsidR="00CE5528" w:rsidRPr="0000169A">
        <w:rPr>
          <w:lang w:val="en-GB"/>
        </w:rPr>
        <w:t xml:space="preserve"> and by forecast year.</w:t>
      </w:r>
    </w:p>
    <w:p w14:paraId="1E6087EB" w14:textId="77777777" w:rsidR="0000169A" w:rsidRPr="0000169A" w:rsidRDefault="0000169A" w:rsidP="0000169A">
      <w:pPr>
        <w:pStyle w:val="ListParagraph"/>
        <w:spacing w:after="0"/>
        <w:contextualSpacing w:val="0"/>
        <w:jc w:val="both"/>
        <w:rPr>
          <w:lang w:val="en-GB"/>
        </w:rPr>
      </w:pPr>
    </w:p>
    <w:p w14:paraId="1ACC7A7E" w14:textId="6B4CEFD5" w:rsidR="00AB7A43" w:rsidRPr="0000169A" w:rsidRDefault="00916410" w:rsidP="005E1430">
      <w:pPr>
        <w:rPr>
          <w:rStyle w:val="IntenseReference"/>
          <w:b w:val="0"/>
          <w:bCs w:val="0"/>
          <w:lang w:val="en-GB"/>
        </w:rPr>
      </w:pPr>
      <w:r>
        <w:rPr>
          <w:rStyle w:val="IntenseReference"/>
          <w:b w:val="0"/>
          <w:bCs w:val="0"/>
          <w:lang w:val="en-GB"/>
        </w:rPr>
        <w:t>7</w:t>
      </w:r>
      <w:r w:rsidR="00AB7A43" w:rsidRPr="0000169A">
        <w:rPr>
          <w:rStyle w:val="IntenseReference"/>
          <w:b w:val="0"/>
          <w:bCs w:val="0"/>
          <w:lang w:val="en-GB"/>
        </w:rPr>
        <w:t>.2. Graphs</w:t>
      </w:r>
    </w:p>
    <w:p w14:paraId="48A510F7" w14:textId="0824CB2E" w:rsidR="000E68A7" w:rsidRPr="0000169A" w:rsidRDefault="007047D2" w:rsidP="00571F3E">
      <w:pPr>
        <w:pStyle w:val="ListParagraph"/>
        <w:numPr>
          <w:ilvl w:val="0"/>
          <w:numId w:val="21"/>
        </w:numPr>
        <w:spacing w:after="0"/>
        <w:rPr>
          <w:b/>
          <w:bCs/>
          <w:lang w:val="en-GB"/>
        </w:rPr>
      </w:pPr>
      <w:r w:rsidRPr="0000169A">
        <w:rPr>
          <w:b/>
          <w:bCs/>
          <w:lang w:val="en-GB"/>
        </w:rPr>
        <w:t>Number of HCWs</w:t>
      </w:r>
      <w:r w:rsidR="00571F3E" w:rsidRPr="0000169A">
        <w:rPr>
          <w:b/>
          <w:bCs/>
          <w:lang w:val="en-GB"/>
        </w:rPr>
        <w:t>, by category</w:t>
      </w:r>
      <w:r w:rsidRPr="0000169A">
        <w:rPr>
          <w:b/>
          <w:bCs/>
          <w:lang w:val="en-GB"/>
        </w:rPr>
        <w:t>:</w:t>
      </w:r>
      <w:r w:rsidR="00571F3E" w:rsidRPr="0000169A">
        <w:rPr>
          <w:b/>
          <w:bCs/>
          <w:lang w:val="en-GB"/>
        </w:rPr>
        <w:t xml:space="preserve"> </w:t>
      </w:r>
      <w:r w:rsidRPr="0000169A">
        <w:rPr>
          <w:lang w:val="en-GB"/>
        </w:rPr>
        <w:t xml:space="preserve">visual representation of the ‘Number of HCWs’ table in </w:t>
      </w:r>
      <w:proofErr w:type="spellStart"/>
      <w:r w:rsidR="00B25B4B" w:rsidRPr="0000169A">
        <w:rPr>
          <w:i/>
          <w:iCs/>
          <w:lang w:val="en-GB"/>
        </w:rPr>
        <w:t>Summary_Tables</w:t>
      </w:r>
      <w:proofErr w:type="spellEnd"/>
      <w:r w:rsidR="00B25B4B" w:rsidRPr="0000169A">
        <w:rPr>
          <w:lang w:val="en-GB"/>
        </w:rPr>
        <w:t xml:space="preserve"> worksheet.</w:t>
      </w:r>
    </w:p>
    <w:p w14:paraId="21D59415" w14:textId="3A5ACF26" w:rsidR="007047D2" w:rsidRPr="0000169A" w:rsidRDefault="00571F3E" w:rsidP="00571F3E">
      <w:pPr>
        <w:pStyle w:val="ListParagraph"/>
        <w:numPr>
          <w:ilvl w:val="0"/>
          <w:numId w:val="21"/>
        </w:numPr>
        <w:spacing w:after="0"/>
        <w:contextualSpacing w:val="0"/>
        <w:jc w:val="both"/>
        <w:rPr>
          <w:lang w:val="en-GB"/>
        </w:rPr>
      </w:pPr>
      <w:r w:rsidRPr="0000169A">
        <w:rPr>
          <w:b/>
          <w:bCs/>
          <w:lang w:val="en-GB"/>
        </w:rPr>
        <w:t>Total n</w:t>
      </w:r>
      <w:r w:rsidR="007047D2" w:rsidRPr="0000169A">
        <w:rPr>
          <w:b/>
          <w:bCs/>
          <w:lang w:val="en-GB"/>
        </w:rPr>
        <w:t>umber of services</w:t>
      </w:r>
      <w:r w:rsidRPr="0000169A">
        <w:rPr>
          <w:b/>
          <w:bCs/>
          <w:lang w:val="en-GB"/>
        </w:rPr>
        <w:t>, category:</w:t>
      </w:r>
      <w:r w:rsidR="007047D2" w:rsidRPr="0000169A">
        <w:rPr>
          <w:b/>
          <w:bCs/>
          <w:lang w:val="en-GB"/>
        </w:rPr>
        <w:t xml:space="preserve"> </w:t>
      </w:r>
      <w:r w:rsidRPr="0000169A">
        <w:rPr>
          <w:lang w:val="en-GB"/>
        </w:rPr>
        <w:t xml:space="preserve">visual representation of the ‘Number of services by category’ table in </w:t>
      </w:r>
      <w:proofErr w:type="spellStart"/>
      <w:r w:rsidR="00B25B4B" w:rsidRPr="0000169A">
        <w:rPr>
          <w:i/>
          <w:iCs/>
          <w:lang w:val="en-GB"/>
        </w:rPr>
        <w:t>Summary_Tables</w:t>
      </w:r>
      <w:proofErr w:type="spellEnd"/>
      <w:r w:rsidR="00B25B4B" w:rsidRPr="0000169A">
        <w:rPr>
          <w:lang w:val="en-GB"/>
        </w:rPr>
        <w:t xml:space="preserve"> worksheet.</w:t>
      </w:r>
    </w:p>
    <w:p w14:paraId="4511391F" w14:textId="4EF40D7E" w:rsidR="00CD136B" w:rsidRPr="0000169A" w:rsidRDefault="00AB7A43" w:rsidP="00571F3E">
      <w:pPr>
        <w:pStyle w:val="ListParagraph"/>
        <w:numPr>
          <w:ilvl w:val="0"/>
          <w:numId w:val="21"/>
        </w:numPr>
        <w:spacing w:after="0"/>
        <w:contextualSpacing w:val="0"/>
        <w:jc w:val="both"/>
        <w:rPr>
          <w:lang w:val="en-GB"/>
        </w:rPr>
      </w:pPr>
      <w:r w:rsidRPr="0000169A">
        <w:rPr>
          <w:b/>
          <w:bCs/>
          <w:lang w:val="en-GB"/>
        </w:rPr>
        <w:t xml:space="preserve">Cost by </w:t>
      </w:r>
      <w:r w:rsidR="00EC3FC3" w:rsidRPr="0000169A">
        <w:rPr>
          <w:b/>
          <w:bCs/>
          <w:lang w:val="en-GB"/>
        </w:rPr>
        <w:t>cost category</w:t>
      </w:r>
      <w:r w:rsidR="00CD136B" w:rsidRPr="0000169A">
        <w:rPr>
          <w:lang w:val="en-GB"/>
        </w:rPr>
        <w:t>:</w:t>
      </w:r>
      <w:r w:rsidR="00571F3E" w:rsidRPr="0000169A">
        <w:rPr>
          <w:lang w:val="en-GB"/>
        </w:rPr>
        <w:t xml:space="preserve"> </w:t>
      </w:r>
      <w:r w:rsidR="00CD136B" w:rsidRPr="0000169A">
        <w:rPr>
          <w:lang w:val="en-GB"/>
        </w:rPr>
        <w:t xml:space="preserve">visual representation of the </w:t>
      </w:r>
      <w:r w:rsidR="00066D0E" w:rsidRPr="0000169A">
        <w:rPr>
          <w:lang w:val="en-GB"/>
        </w:rPr>
        <w:t>‘C</w:t>
      </w:r>
      <w:r w:rsidR="00CD136B" w:rsidRPr="0000169A">
        <w:rPr>
          <w:lang w:val="en-GB"/>
        </w:rPr>
        <w:t>ost by</w:t>
      </w:r>
      <w:r w:rsidR="00E44534" w:rsidRPr="0000169A">
        <w:rPr>
          <w:lang w:val="en-GB"/>
        </w:rPr>
        <w:t xml:space="preserve"> cost category</w:t>
      </w:r>
      <w:r w:rsidR="00066D0E" w:rsidRPr="0000169A">
        <w:rPr>
          <w:lang w:val="en-GB"/>
        </w:rPr>
        <w:t>’</w:t>
      </w:r>
      <w:r w:rsidR="00CD136B" w:rsidRPr="0000169A">
        <w:rPr>
          <w:lang w:val="en-GB"/>
        </w:rPr>
        <w:t xml:space="preserve"> table in ‘</w:t>
      </w:r>
      <w:proofErr w:type="spellStart"/>
      <w:r w:rsidR="00B25B4B" w:rsidRPr="0000169A">
        <w:rPr>
          <w:i/>
          <w:iCs/>
          <w:lang w:val="en-GB"/>
        </w:rPr>
        <w:t>Summary_Tables</w:t>
      </w:r>
      <w:proofErr w:type="spellEnd"/>
      <w:r w:rsidR="00B25B4B" w:rsidRPr="0000169A">
        <w:rPr>
          <w:lang w:val="en-GB"/>
        </w:rPr>
        <w:t xml:space="preserve"> worksheet.</w:t>
      </w:r>
    </w:p>
    <w:p w14:paraId="302DB20C" w14:textId="03B67C2F" w:rsidR="00E41E19" w:rsidRPr="0000169A" w:rsidRDefault="00436D6B" w:rsidP="00571F3E">
      <w:pPr>
        <w:pStyle w:val="ListParagraph"/>
        <w:numPr>
          <w:ilvl w:val="0"/>
          <w:numId w:val="21"/>
        </w:numPr>
        <w:spacing w:after="0"/>
        <w:contextualSpacing w:val="0"/>
        <w:jc w:val="both"/>
        <w:rPr>
          <w:lang w:val="en-GB"/>
        </w:rPr>
      </w:pPr>
      <w:r w:rsidRPr="0000169A">
        <w:rPr>
          <w:b/>
          <w:bCs/>
          <w:lang w:val="en-GB"/>
        </w:rPr>
        <w:t>Funding</w:t>
      </w:r>
      <w:r w:rsidR="000F3026" w:rsidRPr="0000169A">
        <w:rPr>
          <w:b/>
          <w:bCs/>
          <w:lang w:val="en-GB"/>
        </w:rPr>
        <w:t xml:space="preserve"> by cost category</w:t>
      </w:r>
      <w:r w:rsidRPr="0000169A">
        <w:rPr>
          <w:lang w:val="en-GB"/>
        </w:rPr>
        <w:t xml:space="preserve">: visual representation of the </w:t>
      </w:r>
      <w:r w:rsidR="00066D0E" w:rsidRPr="0000169A">
        <w:rPr>
          <w:lang w:val="en-GB"/>
        </w:rPr>
        <w:t>‘</w:t>
      </w:r>
      <w:r w:rsidR="00E41E19" w:rsidRPr="0000169A">
        <w:rPr>
          <w:lang w:val="en-GB"/>
        </w:rPr>
        <w:t>Funding</w:t>
      </w:r>
      <w:r w:rsidR="00E44534" w:rsidRPr="0000169A">
        <w:rPr>
          <w:lang w:val="en-GB"/>
        </w:rPr>
        <w:t xml:space="preserve"> by cost category</w:t>
      </w:r>
      <w:r w:rsidR="00066D0E" w:rsidRPr="0000169A">
        <w:rPr>
          <w:lang w:val="en-GB"/>
        </w:rPr>
        <w:t>’</w:t>
      </w:r>
      <w:r w:rsidRPr="0000169A">
        <w:rPr>
          <w:lang w:val="en-GB"/>
        </w:rPr>
        <w:t xml:space="preserve"> table in </w:t>
      </w:r>
      <w:proofErr w:type="spellStart"/>
      <w:r w:rsidR="00B25B4B" w:rsidRPr="0000169A">
        <w:rPr>
          <w:i/>
          <w:iCs/>
          <w:lang w:val="en-GB"/>
        </w:rPr>
        <w:t>Summary_Tables</w:t>
      </w:r>
      <w:proofErr w:type="spellEnd"/>
      <w:r w:rsidR="00B25B4B" w:rsidRPr="0000169A">
        <w:rPr>
          <w:lang w:val="en-GB"/>
        </w:rPr>
        <w:t xml:space="preserve"> worksheet.</w:t>
      </w:r>
    </w:p>
    <w:p w14:paraId="6EC9480D" w14:textId="7132B5E1" w:rsidR="00E41E19" w:rsidRPr="0000169A" w:rsidRDefault="00E41E19" w:rsidP="00571F3E">
      <w:pPr>
        <w:pStyle w:val="ListParagraph"/>
        <w:numPr>
          <w:ilvl w:val="0"/>
          <w:numId w:val="21"/>
        </w:numPr>
        <w:spacing w:after="0"/>
        <w:contextualSpacing w:val="0"/>
        <w:jc w:val="both"/>
        <w:rPr>
          <w:lang w:val="en-GB"/>
        </w:rPr>
      </w:pPr>
      <w:r w:rsidRPr="0000169A">
        <w:rPr>
          <w:b/>
          <w:bCs/>
          <w:lang w:val="en-GB"/>
        </w:rPr>
        <w:t>Funding</w:t>
      </w:r>
      <w:r w:rsidR="000F3026" w:rsidRPr="0000169A">
        <w:rPr>
          <w:b/>
          <w:bCs/>
          <w:lang w:val="en-GB"/>
        </w:rPr>
        <w:t xml:space="preserve"> by donor</w:t>
      </w:r>
      <w:r w:rsidRPr="0000169A">
        <w:rPr>
          <w:lang w:val="en-GB"/>
        </w:rPr>
        <w:t xml:space="preserve">: visual representation of the </w:t>
      </w:r>
      <w:r w:rsidR="00066D0E" w:rsidRPr="0000169A">
        <w:rPr>
          <w:lang w:val="en-GB"/>
        </w:rPr>
        <w:t>‘</w:t>
      </w:r>
      <w:r w:rsidRPr="0000169A">
        <w:rPr>
          <w:lang w:val="en-GB"/>
        </w:rPr>
        <w:t>Funding</w:t>
      </w:r>
      <w:r w:rsidR="00E44534" w:rsidRPr="0000169A">
        <w:rPr>
          <w:lang w:val="en-GB"/>
        </w:rPr>
        <w:t xml:space="preserve"> by donor</w:t>
      </w:r>
      <w:r w:rsidR="00066D0E" w:rsidRPr="0000169A">
        <w:rPr>
          <w:lang w:val="en-GB"/>
        </w:rPr>
        <w:t>’</w:t>
      </w:r>
      <w:r w:rsidRPr="0000169A">
        <w:rPr>
          <w:lang w:val="en-GB"/>
        </w:rPr>
        <w:t xml:space="preserve"> table in </w:t>
      </w:r>
      <w:proofErr w:type="spellStart"/>
      <w:r w:rsidRPr="0000169A">
        <w:rPr>
          <w:i/>
          <w:iCs/>
          <w:lang w:val="en-GB"/>
        </w:rPr>
        <w:t>Summary_Tables</w:t>
      </w:r>
      <w:proofErr w:type="spellEnd"/>
      <w:r w:rsidR="00571F3E" w:rsidRPr="0000169A">
        <w:rPr>
          <w:i/>
          <w:iCs/>
          <w:lang w:val="en-GB"/>
        </w:rPr>
        <w:t xml:space="preserve"> </w:t>
      </w:r>
      <w:r w:rsidRPr="0000169A">
        <w:rPr>
          <w:lang w:val="en-GB"/>
        </w:rPr>
        <w:t>sheet.</w:t>
      </w:r>
    </w:p>
    <w:p w14:paraId="2EFC6198" w14:textId="114007FA" w:rsidR="00DA2948" w:rsidRPr="0000169A" w:rsidRDefault="005E2055" w:rsidP="00571F3E">
      <w:pPr>
        <w:pStyle w:val="ListParagraph"/>
        <w:numPr>
          <w:ilvl w:val="0"/>
          <w:numId w:val="21"/>
        </w:numPr>
        <w:contextualSpacing w:val="0"/>
        <w:jc w:val="both"/>
        <w:rPr>
          <w:lang w:val="en-GB"/>
        </w:rPr>
      </w:pPr>
      <w:r w:rsidRPr="0000169A">
        <w:rPr>
          <w:b/>
          <w:bCs/>
          <w:lang w:val="en-GB"/>
        </w:rPr>
        <w:t>Funding Gap</w:t>
      </w:r>
      <w:r w:rsidR="00E44534" w:rsidRPr="0000169A">
        <w:rPr>
          <w:b/>
          <w:bCs/>
          <w:lang w:val="en-GB"/>
        </w:rPr>
        <w:t xml:space="preserve"> by cost category</w:t>
      </w:r>
      <w:r w:rsidRPr="0000169A">
        <w:rPr>
          <w:lang w:val="en-GB"/>
        </w:rPr>
        <w:t xml:space="preserve">: visual representation of the </w:t>
      </w:r>
      <w:r w:rsidR="00066D0E" w:rsidRPr="0000169A">
        <w:rPr>
          <w:lang w:val="en-GB"/>
        </w:rPr>
        <w:t>‘</w:t>
      </w:r>
      <w:r w:rsidRPr="0000169A">
        <w:rPr>
          <w:lang w:val="en-GB"/>
        </w:rPr>
        <w:t xml:space="preserve">Funding </w:t>
      </w:r>
      <w:r w:rsidR="00066D0E" w:rsidRPr="0000169A">
        <w:rPr>
          <w:lang w:val="en-GB"/>
        </w:rPr>
        <w:t>Gap’</w:t>
      </w:r>
      <w:r w:rsidRPr="0000169A">
        <w:rPr>
          <w:lang w:val="en-GB"/>
        </w:rPr>
        <w:t xml:space="preserve"> table in</w:t>
      </w:r>
      <w:r w:rsidR="00E34579" w:rsidRPr="0000169A">
        <w:rPr>
          <w:lang w:val="en-GB"/>
        </w:rPr>
        <w:t xml:space="preserve"> </w:t>
      </w:r>
      <w:proofErr w:type="spellStart"/>
      <w:r w:rsidRPr="0000169A">
        <w:rPr>
          <w:i/>
          <w:iCs/>
          <w:lang w:val="en-GB"/>
        </w:rPr>
        <w:t>Summary_Tables</w:t>
      </w:r>
      <w:proofErr w:type="spellEnd"/>
      <w:r w:rsidRPr="0000169A">
        <w:rPr>
          <w:lang w:val="en-GB"/>
        </w:rPr>
        <w:t xml:space="preserve"> </w:t>
      </w:r>
      <w:r w:rsidR="00B25B4B" w:rsidRPr="0000169A">
        <w:rPr>
          <w:lang w:val="en-GB"/>
        </w:rPr>
        <w:t>work</w:t>
      </w:r>
      <w:r w:rsidRPr="0000169A">
        <w:rPr>
          <w:lang w:val="en-GB"/>
        </w:rPr>
        <w:t>sheet.</w:t>
      </w:r>
    </w:p>
    <w:p w14:paraId="6D695BD4" w14:textId="7D23A612" w:rsidR="00C26D4A" w:rsidRPr="0000169A" w:rsidRDefault="00916410" w:rsidP="00C26D4A">
      <w:pPr>
        <w:rPr>
          <w:rStyle w:val="IntenseReference"/>
          <w:b w:val="0"/>
          <w:bCs w:val="0"/>
          <w:lang w:val="en-GB"/>
        </w:rPr>
      </w:pPr>
      <w:r>
        <w:rPr>
          <w:rStyle w:val="IntenseReference"/>
          <w:b w:val="0"/>
          <w:bCs w:val="0"/>
          <w:lang w:val="en-GB"/>
        </w:rPr>
        <w:t>7</w:t>
      </w:r>
      <w:r w:rsidR="00AB7A43" w:rsidRPr="0000169A">
        <w:rPr>
          <w:rStyle w:val="IntenseReference"/>
          <w:b w:val="0"/>
          <w:bCs w:val="0"/>
          <w:lang w:val="en-GB"/>
        </w:rPr>
        <w:t xml:space="preserve">.3. </w:t>
      </w:r>
      <w:r w:rsidR="001B5318" w:rsidRPr="0000169A">
        <w:rPr>
          <w:rStyle w:val="IntenseReference"/>
          <w:b w:val="0"/>
          <w:bCs w:val="0"/>
          <w:lang w:val="en-GB"/>
        </w:rPr>
        <w:t>assistive products quantification</w:t>
      </w:r>
    </w:p>
    <w:p w14:paraId="224970B8" w14:textId="3319C5BA" w:rsidR="00300DAB" w:rsidRPr="0000169A" w:rsidRDefault="00D70A45" w:rsidP="00775178">
      <w:pPr>
        <w:rPr>
          <w:lang w:val="en-GB"/>
        </w:rPr>
      </w:pPr>
      <w:r w:rsidRPr="0000169A">
        <w:rPr>
          <w:lang w:val="en-GB"/>
        </w:rPr>
        <w:t>Contains a summary view of units required assistive products, commodities, and related costs by forecast year.</w:t>
      </w:r>
    </w:p>
    <w:p w14:paraId="3EE9142C" w14:textId="3827BF94" w:rsidR="00D70A45" w:rsidRDefault="00D70A45" w:rsidP="00916410">
      <w:pPr>
        <w:pStyle w:val="Heading1"/>
        <w:numPr>
          <w:ilvl w:val="0"/>
          <w:numId w:val="46"/>
        </w:numPr>
        <w:rPr>
          <w:lang w:val="en-GB"/>
        </w:rPr>
      </w:pPr>
      <w:r w:rsidRPr="0000169A">
        <w:rPr>
          <w:lang w:val="en-GB"/>
        </w:rPr>
        <w:t xml:space="preserve">Back Calculation </w:t>
      </w:r>
    </w:p>
    <w:p w14:paraId="52C11F19" w14:textId="55D2F59F" w:rsidR="0000169A" w:rsidRDefault="0000169A" w:rsidP="0000169A">
      <w:pPr>
        <w:spacing w:after="0"/>
        <w:rPr>
          <w:lang w:val="en-GB"/>
        </w:rPr>
      </w:pPr>
    </w:p>
    <w:tbl>
      <w:tblPr>
        <w:tblStyle w:val="TableGrid"/>
        <w:tblW w:w="0" w:type="auto"/>
        <w:tblBorders>
          <w:insideH w:val="single" w:sz="4" w:space="0" w:color="A6A6A6" w:themeColor="background1" w:themeShade="A6"/>
          <w:insideV w:val="single" w:sz="4" w:space="0" w:color="7F7F7F" w:themeColor="text1" w:themeTint="80"/>
        </w:tblBorders>
        <w:tblLook w:val="04A0" w:firstRow="1" w:lastRow="0" w:firstColumn="1" w:lastColumn="0" w:noHBand="0" w:noVBand="1"/>
      </w:tblPr>
      <w:tblGrid>
        <w:gridCol w:w="2065"/>
      </w:tblGrid>
      <w:tr w:rsidR="0000169A" w:rsidRPr="0000169A" w14:paraId="1A897717" w14:textId="77777777" w:rsidTr="0000169A">
        <w:tc>
          <w:tcPr>
            <w:tcW w:w="2065" w:type="dxa"/>
            <w:shd w:val="clear" w:color="auto" w:fill="000000" w:themeFill="text1"/>
          </w:tcPr>
          <w:p w14:paraId="562C55AB" w14:textId="48EC0E12" w:rsidR="0000169A" w:rsidRPr="0000169A" w:rsidRDefault="0000169A" w:rsidP="00E838C8">
            <w:pPr>
              <w:rPr>
                <w:rFonts w:cs="TT267t00"/>
                <w:color w:val="000000" w:themeColor="text1"/>
              </w:rPr>
            </w:pPr>
            <w:proofErr w:type="spellStart"/>
            <w:r w:rsidRPr="0000169A">
              <w:rPr>
                <w:rFonts w:cs="TT267t00"/>
                <w:color w:val="FFFFFF" w:themeColor="background1"/>
              </w:rPr>
              <w:t>Back_Calculations</w:t>
            </w:r>
            <w:proofErr w:type="spellEnd"/>
          </w:p>
        </w:tc>
      </w:tr>
    </w:tbl>
    <w:p w14:paraId="7A9A784B" w14:textId="345E47B4" w:rsidR="00897573" w:rsidRPr="0000169A" w:rsidRDefault="00897573" w:rsidP="0000169A">
      <w:pPr>
        <w:spacing w:after="0"/>
        <w:rPr>
          <w:lang w:val="en-GB"/>
        </w:rPr>
      </w:pPr>
    </w:p>
    <w:p w14:paraId="34FD4334" w14:textId="77777777" w:rsidR="00300DAB" w:rsidRPr="0000169A" w:rsidRDefault="00300DAB" w:rsidP="00300DAB">
      <w:pPr>
        <w:rPr>
          <w:smallCaps/>
          <w:color w:val="4472C4" w:themeColor="accent1"/>
          <w:spacing w:val="5"/>
          <w:lang w:val="en-GB"/>
        </w:rPr>
      </w:pPr>
      <w:r w:rsidRPr="0000169A">
        <w:rPr>
          <w:lang w:val="en-GB"/>
        </w:rPr>
        <w:t>If relevant, the user can enter here assumptions that will be used to calculate the unit costs.</w:t>
      </w:r>
    </w:p>
    <w:p w14:paraId="7307EC71" w14:textId="77777777" w:rsidR="00300DAB" w:rsidRPr="0000169A" w:rsidRDefault="00300DAB" w:rsidP="00300DAB">
      <w:pPr>
        <w:pStyle w:val="ListParagraph"/>
        <w:numPr>
          <w:ilvl w:val="0"/>
          <w:numId w:val="29"/>
        </w:numPr>
        <w:rPr>
          <w:b/>
          <w:bCs/>
          <w:lang w:val="en-GB"/>
        </w:rPr>
      </w:pPr>
      <w:r w:rsidRPr="0000169A">
        <w:rPr>
          <w:b/>
          <w:bCs/>
          <w:lang w:val="en-GB"/>
        </w:rPr>
        <w:t xml:space="preserve">Financial Assumptions: </w:t>
      </w:r>
      <w:r w:rsidRPr="0000169A">
        <w:rPr>
          <w:lang w:val="en-GB"/>
        </w:rPr>
        <w:t xml:space="preserve">this section contains information about the inflation rate. </w:t>
      </w:r>
    </w:p>
    <w:p w14:paraId="1206A0FE" w14:textId="77777777" w:rsidR="00300DAB" w:rsidRPr="0000169A" w:rsidRDefault="00300DAB" w:rsidP="00300DAB">
      <w:pPr>
        <w:pStyle w:val="ListParagraph"/>
        <w:numPr>
          <w:ilvl w:val="0"/>
          <w:numId w:val="31"/>
        </w:numPr>
        <w:rPr>
          <w:lang w:val="en-GB"/>
        </w:rPr>
      </w:pPr>
      <w:r w:rsidRPr="0000169A">
        <w:rPr>
          <w:b/>
          <w:bCs/>
          <w:lang w:val="en-GB"/>
        </w:rPr>
        <w:t>Year</w:t>
      </w:r>
      <w:r w:rsidRPr="0000169A">
        <w:rPr>
          <w:lang w:val="en-GB"/>
        </w:rPr>
        <w:t xml:space="preserve"> (Column B): displays the baseline year and previous 6 years.</w:t>
      </w:r>
    </w:p>
    <w:p w14:paraId="235AE028" w14:textId="77777777" w:rsidR="00300DAB" w:rsidRPr="0000169A" w:rsidRDefault="00300DAB" w:rsidP="00300DAB">
      <w:pPr>
        <w:pStyle w:val="ListParagraph"/>
        <w:numPr>
          <w:ilvl w:val="0"/>
          <w:numId w:val="31"/>
        </w:numPr>
        <w:rPr>
          <w:b/>
          <w:bCs/>
          <w:lang w:val="en-GB"/>
        </w:rPr>
      </w:pPr>
      <w:r w:rsidRPr="0000169A">
        <w:rPr>
          <w:b/>
          <w:bCs/>
          <w:lang w:val="en-GB"/>
        </w:rPr>
        <w:t>Inflation rate (%)</w:t>
      </w:r>
      <w:r w:rsidRPr="0000169A">
        <w:rPr>
          <w:lang w:val="en-GB"/>
        </w:rPr>
        <w:t xml:space="preserve"> (Column C): for each year, enter the inflation rate. </w:t>
      </w:r>
    </w:p>
    <w:p w14:paraId="705614A0" w14:textId="77777777" w:rsidR="00300DAB" w:rsidRPr="0000169A" w:rsidRDefault="00300DAB" w:rsidP="00300DAB">
      <w:pPr>
        <w:pStyle w:val="ListParagraph"/>
        <w:numPr>
          <w:ilvl w:val="0"/>
          <w:numId w:val="31"/>
        </w:numPr>
        <w:rPr>
          <w:b/>
          <w:bCs/>
          <w:lang w:val="en-GB"/>
        </w:rPr>
      </w:pPr>
      <w:r w:rsidRPr="0000169A">
        <w:rPr>
          <w:b/>
          <w:bCs/>
          <w:lang w:val="en-GB"/>
        </w:rPr>
        <w:t>Years</w:t>
      </w:r>
      <w:r w:rsidRPr="0000169A">
        <w:rPr>
          <w:lang w:val="en-GB"/>
        </w:rPr>
        <w:t xml:space="preserve"> (Column D): automatically allocate a number to each year.</w:t>
      </w:r>
    </w:p>
    <w:p w14:paraId="316243E0" w14:textId="77777777" w:rsidR="00300DAB" w:rsidRPr="0000169A" w:rsidRDefault="00300DAB" w:rsidP="00300DAB">
      <w:pPr>
        <w:pStyle w:val="ListParagraph"/>
        <w:numPr>
          <w:ilvl w:val="0"/>
          <w:numId w:val="31"/>
        </w:numPr>
        <w:rPr>
          <w:b/>
          <w:bCs/>
          <w:lang w:val="en-GB"/>
        </w:rPr>
      </w:pPr>
      <w:r w:rsidRPr="0000169A">
        <w:rPr>
          <w:b/>
          <w:bCs/>
          <w:lang w:val="en-GB"/>
        </w:rPr>
        <w:t>Cumulative rate</w:t>
      </w:r>
      <w:r w:rsidRPr="0000169A">
        <w:rPr>
          <w:lang w:val="en-GB"/>
        </w:rPr>
        <w:t xml:space="preserve"> (Column E): automatically calculated the cumulative rate for each year.</w:t>
      </w:r>
    </w:p>
    <w:p w14:paraId="21D2A4B2" w14:textId="77777777" w:rsidR="00300DAB" w:rsidRPr="0000169A" w:rsidRDefault="00300DAB" w:rsidP="00300DAB">
      <w:pPr>
        <w:pStyle w:val="ListParagraph"/>
        <w:numPr>
          <w:ilvl w:val="0"/>
          <w:numId w:val="31"/>
        </w:numPr>
        <w:spacing w:after="120"/>
        <w:rPr>
          <w:lang w:val="en-GB"/>
        </w:rPr>
      </w:pPr>
      <w:r w:rsidRPr="0000169A">
        <w:rPr>
          <w:b/>
          <w:bCs/>
          <w:lang w:val="en-GB"/>
        </w:rPr>
        <w:t>Source</w:t>
      </w:r>
      <w:r w:rsidRPr="0000169A">
        <w:rPr>
          <w:lang w:val="en-GB"/>
        </w:rPr>
        <w:t xml:space="preserve"> (Column F): indicate the source for the inflation rate.</w:t>
      </w:r>
    </w:p>
    <w:p w14:paraId="2904FC9C" w14:textId="4F9C6A6A" w:rsidR="00300DAB" w:rsidRPr="0000169A" w:rsidRDefault="00300DAB" w:rsidP="00300DAB">
      <w:pPr>
        <w:pStyle w:val="ListParagraph"/>
        <w:numPr>
          <w:ilvl w:val="0"/>
          <w:numId w:val="31"/>
        </w:numPr>
        <w:spacing w:after="0"/>
        <w:contextualSpacing w:val="0"/>
        <w:rPr>
          <w:lang w:val="en-GB"/>
        </w:rPr>
      </w:pPr>
      <w:r w:rsidRPr="0000169A">
        <w:rPr>
          <w:b/>
          <w:bCs/>
          <w:lang w:val="en-GB"/>
        </w:rPr>
        <w:t>Estimate</w:t>
      </w:r>
      <w:r w:rsidRPr="0000169A">
        <w:rPr>
          <w:lang w:val="en-GB"/>
        </w:rPr>
        <w:t xml:space="preserve"> (Column </w:t>
      </w:r>
      <w:r w:rsidR="00D70A45" w:rsidRPr="0000169A">
        <w:rPr>
          <w:lang w:val="en-GB"/>
        </w:rPr>
        <w:t>K</w:t>
      </w:r>
      <w:r w:rsidRPr="0000169A">
        <w:rPr>
          <w:lang w:val="en-GB"/>
        </w:rPr>
        <w:t>): enter the interest rate and discount rate for the baseline year. The Inflation rate is automatically reported from column C.</w:t>
      </w:r>
    </w:p>
    <w:p w14:paraId="3F5BAC23" w14:textId="77777777" w:rsidR="00300DAB" w:rsidRPr="0000169A" w:rsidRDefault="00300DAB" w:rsidP="00300DAB">
      <w:pPr>
        <w:pStyle w:val="ListParagraph"/>
        <w:numPr>
          <w:ilvl w:val="0"/>
          <w:numId w:val="31"/>
        </w:numPr>
        <w:spacing w:after="120"/>
        <w:contextualSpacing w:val="0"/>
        <w:rPr>
          <w:lang w:val="en-GB"/>
        </w:rPr>
      </w:pPr>
      <w:r w:rsidRPr="0000169A">
        <w:rPr>
          <w:b/>
          <w:bCs/>
          <w:lang w:val="en-GB"/>
        </w:rPr>
        <w:t>Source</w:t>
      </w:r>
      <w:r w:rsidRPr="0000169A">
        <w:rPr>
          <w:lang w:val="en-GB"/>
        </w:rPr>
        <w:t xml:space="preserve"> (Column J):  indicate the source for the interest rate and discount rate.</w:t>
      </w:r>
    </w:p>
    <w:p w14:paraId="3AE78EC9" w14:textId="77777777" w:rsidR="00300DAB" w:rsidRPr="0000169A" w:rsidRDefault="00300DAB" w:rsidP="00300DAB">
      <w:pPr>
        <w:pStyle w:val="ListParagraph"/>
        <w:numPr>
          <w:ilvl w:val="0"/>
          <w:numId w:val="29"/>
        </w:numPr>
        <w:rPr>
          <w:b/>
          <w:bCs/>
          <w:lang w:val="en-GB"/>
        </w:rPr>
      </w:pPr>
      <w:r w:rsidRPr="0000169A">
        <w:rPr>
          <w:b/>
          <w:bCs/>
          <w:lang w:val="en-GB"/>
        </w:rPr>
        <w:t xml:space="preserve">Human Resource Assumptions: </w:t>
      </w:r>
      <w:r w:rsidRPr="0000169A">
        <w:rPr>
          <w:lang w:val="en-GB"/>
        </w:rPr>
        <w:t xml:space="preserve">enter here any human resources assumptions relevant to calculate costs. Modify the example as you see fit. </w:t>
      </w:r>
    </w:p>
    <w:p w14:paraId="27CD8A13" w14:textId="77777777" w:rsidR="00300DAB" w:rsidRPr="0000169A" w:rsidRDefault="00300DAB" w:rsidP="00775178">
      <w:pPr>
        <w:rPr>
          <w:lang w:val="en-GB"/>
        </w:rPr>
      </w:pPr>
    </w:p>
    <w:p w14:paraId="7EAAE37F" w14:textId="4F93B21B" w:rsidR="005E1430" w:rsidRPr="0000169A" w:rsidRDefault="005E1430" w:rsidP="00FD3406">
      <w:pPr>
        <w:jc w:val="center"/>
        <w:rPr>
          <w:lang w:val="en-GB"/>
        </w:rPr>
      </w:pPr>
    </w:p>
    <w:p w14:paraId="70249B55" w14:textId="476810CD" w:rsidR="00300DAB" w:rsidRPr="0000169A" w:rsidRDefault="00300DAB" w:rsidP="00FD3406">
      <w:pPr>
        <w:jc w:val="center"/>
        <w:rPr>
          <w:lang w:val="en-GB"/>
        </w:rPr>
      </w:pPr>
    </w:p>
    <w:p w14:paraId="7E596B4D" w14:textId="77777777" w:rsidR="00300DAB" w:rsidRPr="0000169A" w:rsidRDefault="00300DAB" w:rsidP="00FD3406">
      <w:pPr>
        <w:jc w:val="center"/>
        <w:rPr>
          <w:lang w:val="en-GB"/>
        </w:rPr>
      </w:pPr>
    </w:p>
    <w:sectPr w:rsidR="00300DAB" w:rsidRPr="0000169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C63D1" w14:textId="77777777" w:rsidR="00507229" w:rsidRDefault="00507229" w:rsidP="00FD3406">
      <w:pPr>
        <w:spacing w:after="0" w:line="240" w:lineRule="auto"/>
      </w:pPr>
      <w:r>
        <w:separator/>
      </w:r>
    </w:p>
  </w:endnote>
  <w:endnote w:type="continuationSeparator" w:id="0">
    <w:p w14:paraId="13A0E406" w14:textId="77777777" w:rsidR="00507229" w:rsidRDefault="00507229" w:rsidP="00FD3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267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162154"/>
      <w:docPartObj>
        <w:docPartGallery w:val="Page Numbers (Bottom of Page)"/>
        <w:docPartUnique/>
      </w:docPartObj>
    </w:sdtPr>
    <w:sdtEndPr>
      <w:rPr>
        <w:noProof/>
      </w:rPr>
    </w:sdtEndPr>
    <w:sdtContent>
      <w:p w14:paraId="37A42DD9" w14:textId="2FA1C88E" w:rsidR="001F0917" w:rsidRDefault="001F09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EABA50" w14:textId="77777777" w:rsidR="001F0917" w:rsidRDefault="001F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228C" w14:textId="77777777" w:rsidR="00507229" w:rsidRDefault="00507229" w:rsidP="00FD3406">
      <w:pPr>
        <w:spacing w:after="0" w:line="240" w:lineRule="auto"/>
      </w:pPr>
      <w:r>
        <w:separator/>
      </w:r>
    </w:p>
  </w:footnote>
  <w:footnote w:type="continuationSeparator" w:id="0">
    <w:p w14:paraId="4787B3FA" w14:textId="77777777" w:rsidR="00507229" w:rsidRDefault="00507229" w:rsidP="00FD3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F16"/>
    <w:multiLevelType w:val="hybridMultilevel"/>
    <w:tmpl w:val="7B78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97CE3"/>
    <w:multiLevelType w:val="hybridMultilevel"/>
    <w:tmpl w:val="B06000AC"/>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2" w15:restartNumberingAfterBreak="0">
    <w:nsid w:val="0C0A0E4B"/>
    <w:multiLevelType w:val="hybridMultilevel"/>
    <w:tmpl w:val="E6167850"/>
    <w:lvl w:ilvl="0" w:tplc="9C087D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91713"/>
    <w:multiLevelType w:val="hybridMultilevel"/>
    <w:tmpl w:val="ADBEDD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CD4891"/>
    <w:multiLevelType w:val="hybridMultilevel"/>
    <w:tmpl w:val="3F02BA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113A9D"/>
    <w:multiLevelType w:val="hybridMultilevel"/>
    <w:tmpl w:val="292C0858"/>
    <w:lvl w:ilvl="0" w:tplc="9C087D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84B31"/>
    <w:multiLevelType w:val="hybridMultilevel"/>
    <w:tmpl w:val="406273C4"/>
    <w:lvl w:ilvl="0" w:tplc="04090013">
      <w:start w:val="1"/>
      <w:numFmt w:val="upperRoman"/>
      <w:lvlText w:val="%1."/>
      <w:lvlJc w:val="right"/>
      <w:pPr>
        <w:ind w:left="720" w:hanging="360"/>
      </w:pPr>
    </w:lvl>
    <w:lvl w:ilvl="1" w:tplc="1C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B3CBB"/>
    <w:multiLevelType w:val="hybridMultilevel"/>
    <w:tmpl w:val="0A2E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13ACF"/>
    <w:multiLevelType w:val="hybridMultilevel"/>
    <w:tmpl w:val="9DDC9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306E95"/>
    <w:multiLevelType w:val="hybridMultilevel"/>
    <w:tmpl w:val="4888D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5666C8"/>
    <w:multiLevelType w:val="hybridMultilevel"/>
    <w:tmpl w:val="71984774"/>
    <w:lvl w:ilvl="0" w:tplc="9C087D5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E223E"/>
    <w:multiLevelType w:val="hybridMultilevel"/>
    <w:tmpl w:val="C9A8CA4C"/>
    <w:lvl w:ilvl="0" w:tplc="04090003">
      <w:start w:val="1"/>
      <w:numFmt w:val="bullet"/>
      <w:lvlText w:val="o"/>
      <w:lvlJc w:val="left"/>
      <w:pPr>
        <w:ind w:left="2520" w:hanging="360"/>
      </w:pPr>
      <w:rPr>
        <w:rFonts w:ascii="Courier New" w:hAnsi="Courier New" w:cs="Courier New"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12" w15:restartNumberingAfterBreak="0">
    <w:nsid w:val="27DA00F5"/>
    <w:multiLevelType w:val="hybridMultilevel"/>
    <w:tmpl w:val="BE208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AF8249C"/>
    <w:multiLevelType w:val="hybridMultilevel"/>
    <w:tmpl w:val="EF96ED18"/>
    <w:lvl w:ilvl="0" w:tplc="9C087D5A">
      <w:start w:val="1"/>
      <w:numFmt w:val="upperRoman"/>
      <w:lvlText w:val="%1."/>
      <w:lvlJc w:val="left"/>
      <w:pPr>
        <w:ind w:left="1080" w:hanging="720"/>
      </w:pPr>
      <w:rPr>
        <w:rFonts w:hint="default"/>
        <w:b/>
      </w:rPr>
    </w:lvl>
    <w:lvl w:ilvl="1" w:tplc="1C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0748C"/>
    <w:multiLevelType w:val="hybridMultilevel"/>
    <w:tmpl w:val="43E4E74A"/>
    <w:lvl w:ilvl="0" w:tplc="AAD8BF0A">
      <w:start w:val="1"/>
      <w:numFmt w:val="bullet"/>
      <w:lvlText w:val=""/>
      <w:lvlJc w:val="left"/>
      <w:pPr>
        <w:ind w:left="1368"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C7C522B"/>
    <w:multiLevelType w:val="hybridMultilevel"/>
    <w:tmpl w:val="91DE6518"/>
    <w:lvl w:ilvl="0" w:tplc="04090011">
      <w:start w:val="1"/>
      <w:numFmt w:val="decimal"/>
      <w:lvlText w:val="%1)"/>
      <w:lvlJc w:val="left"/>
      <w:pPr>
        <w:ind w:left="720" w:hanging="360"/>
      </w:pPr>
      <w:rPr>
        <w:rFonts w:hint="default"/>
        <w:b w:val="0"/>
        <w:bCs/>
      </w:rPr>
    </w:lvl>
    <w:lvl w:ilvl="1" w:tplc="1C090001">
      <w:start w:val="1"/>
      <w:numFmt w:val="bullet"/>
      <w:lvlText w:val=""/>
      <w:lvlJc w:val="left"/>
      <w:pPr>
        <w:ind w:left="107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70D00"/>
    <w:multiLevelType w:val="hybridMultilevel"/>
    <w:tmpl w:val="4620A9F0"/>
    <w:lvl w:ilvl="0" w:tplc="59FCB0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E3044C"/>
    <w:multiLevelType w:val="hybridMultilevel"/>
    <w:tmpl w:val="F30CB846"/>
    <w:lvl w:ilvl="0" w:tplc="07A2231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B3624"/>
    <w:multiLevelType w:val="hybridMultilevel"/>
    <w:tmpl w:val="A93AB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41A0B07"/>
    <w:multiLevelType w:val="hybridMultilevel"/>
    <w:tmpl w:val="9086F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7701C7"/>
    <w:multiLevelType w:val="hybridMultilevel"/>
    <w:tmpl w:val="D48205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88F030C"/>
    <w:multiLevelType w:val="hybridMultilevel"/>
    <w:tmpl w:val="04CA1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ABB694D"/>
    <w:multiLevelType w:val="hybridMultilevel"/>
    <w:tmpl w:val="A7FC2044"/>
    <w:lvl w:ilvl="0" w:tplc="59FCB0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B2136"/>
    <w:multiLevelType w:val="hybridMultilevel"/>
    <w:tmpl w:val="AC2A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C389F"/>
    <w:multiLevelType w:val="hybridMultilevel"/>
    <w:tmpl w:val="FC12D0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A30695D"/>
    <w:multiLevelType w:val="hybridMultilevel"/>
    <w:tmpl w:val="5DDC4AC8"/>
    <w:lvl w:ilvl="0" w:tplc="30D4A450">
      <w:start w:val="1"/>
      <w:numFmt w:val="upperRoman"/>
      <w:lvlText w:val="%1."/>
      <w:lvlJc w:val="right"/>
      <w:pPr>
        <w:ind w:left="720" w:hanging="360"/>
      </w:pPr>
      <w:rPr>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DC65D67"/>
    <w:multiLevelType w:val="hybridMultilevel"/>
    <w:tmpl w:val="5216AEDC"/>
    <w:lvl w:ilvl="0" w:tplc="AAD8BF0A">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DDF21A5"/>
    <w:multiLevelType w:val="hybridMultilevel"/>
    <w:tmpl w:val="CC268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B12CFF"/>
    <w:multiLevelType w:val="hybridMultilevel"/>
    <w:tmpl w:val="BFA811F6"/>
    <w:lvl w:ilvl="0" w:tplc="59FCB0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1C03BE"/>
    <w:multiLevelType w:val="hybridMultilevel"/>
    <w:tmpl w:val="9E1C281C"/>
    <w:lvl w:ilvl="0" w:tplc="1E9CA7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987BEE"/>
    <w:multiLevelType w:val="hybridMultilevel"/>
    <w:tmpl w:val="5D62D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60B2D3E"/>
    <w:multiLevelType w:val="hybridMultilevel"/>
    <w:tmpl w:val="D662F8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71D4145"/>
    <w:multiLevelType w:val="hybridMultilevel"/>
    <w:tmpl w:val="85E4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261BE6"/>
    <w:multiLevelType w:val="hybridMultilevel"/>
    <w:tmpl w:val="F202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62401D"/>
    <w:multiLevelType w:val="hybridMultilevel"/>
    <w:tmpl w:val="CFDA73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AC50B6E"/>
    <w:multiLevelType w:val="hybridMultilevel"/>
    <w:tmpl w:val="71984774"/>
    <w:lvl w:ilvl="0" w:tplc="9C087D5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70589A"/>
    <w:multiLevelType w:val="hybridMultilevel"/>
    <w:tmpl w:val="CE5A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0F6A45"/>
    <w:multiLevelType w:val="hybridMultilevel"/>
    <w:tmpl w:val="419445CE"/>
    <w:lvl w:ilvl="0" w:tplc="119E281A">
      <w:start w:val="6"/>
      <w:numFmt w:val="decimal"/>
      <w:lvlText w:val="%1."/>
      <w:lvlJc w:val="left"/>
      <w:pPr>
        <w:ind w:left="360" w:hanging="360"/>
      </w:pPr>
      <w:rPr>
        <w:rFonts w:hint="default"/>
        <w:b w:val="0"/>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7EC1B24"/>
    <w:multiLevelType w:val="hybridMultilevel"/>
    <w:tmpl w:val="9B9AED5A"/>
    <w:lvl w:ilvl="0" w:tplc="0632F64E">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5E6841"/>
    <w:multiLevelType w:val="hybridMultilevel"/>
    <w:tmpl w:val="CBAC0AC8"/>
    <w:lvl w:ilvl="0" w:tplc="59FCB0C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43021A"/>
    <w:multiLevelType w:val="hybridMultilevel"/>
    <w:tmpl w:val="98347F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DF22819"/>
    <w:multiLevelType w:val="hybridMultilevel"/>
    <w:tmpl w:val="E1344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E17B51"/>
    <w:multiLevelType w:val="hybridMultilevel"/>
    <w:tmpl w:val="6CEC0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EB0096"/>
    <w:multiLevelType w:val="hybridMultilevel"/>
    <w:tmpl w:val="95545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F747540"/>
    <w:multiLevelType w:val="hybridMultilevel"/>
    <w:tmpl w:val="ADBEE8B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5A8016C"/>
    <w:multiLevelType w:val="hybridMultilevel"/>
    <w:tmpl w:val="7AEACF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33"/>
  </w:num>
  <w:num w:numId="4">
    <w:abstractNumId w:val="15"/>
  </w:num>
  <w:num w:numId="5">
    <w:abstractNumId w:val="21"/>
  </w:num>
  <w:num w:numId="6">
    <w:abstractNumId w:val="30"/>
  </w:num>
  <w:num w:numId="7">
    <w:abstractNumId w:val="42"/>
  </w:num>
  <w:num w:numId="8">
    <w:abstractNumId w:val="17"/>
  </w:num>
  <w:num w:numId="9">
    <w:abstractNumId w:val="13"/>
  </w:num>
  <w:num w:numId="10">
    <w:abstractNumId w:val="26"/>
  </w:num>
  <w:num w:numId="11">
    <w:abstractNumId w:val="43"/>
  </w:num>
  <w:num w:numId="12">
    <w:abstractNumId w:val="36"/>
  </w:num>
  <w:num w:numId="13">
    <w:abstractNumId w:val="44"/>
  </w:num>
  <w:num w:numId="14">
    <w:abstractNumId w:val="2"/>
  </w:num>
  <w:num w:numId="15">
    <w:abstractNumId w:val="5"/>
  </w:num>
  <w:num w:numId="16">
    <w:abstractNumId w:val="32"/>
  </w:num>
  <w:num w:numId="17">
    <w:abstractNumId w:val="0"/>
  </w:num>
  <w:num w:numId="18">
    <w:abstractNumId w:val="41"/>
  </w:num>
  <w:num w:numId="19">
    <w:abstractNumId w:val="35"/>
  </w:num>
  <w:num w:numId="20">
    <w:abstractNumId w:val="29"/>
  </w:num>
  <w:num w:numId="21">
    <w:abstractNumId w:val="10"/>
  </w:num>
  <w:num w:numId="22">
    <w:abstractNumId w:val="9"/>
  </w:num>
  <w:num w:numId="23">
    <w:abstractNumId w:val="6"/>
  </w:num>
  <w:num w:numId="24">
    <w:abstractNumId w:val="16"/>
  </w:num>
  <w:num w:numId="25">
    <w:abstractNumId w:val="23"/>
  </w:num>
  <w:num w:numId="26">
    <w:abstractNumId w:val="7"/>
  </w:num>
  <w:num w:numId="27">
    <w:abstractNumId w:val="19"/>
  </w:num>
  <w:num w:numId="28">
    <w:abstractNumId w:val="28"/>
  </w:num>
  <w:num w:numId="29">
    <w:abstractNumId w:val="39"/>
  </w:num>
  <w:num w:numId="30">
    <w:abstractNumId w:val="22"/>
  </w:num>
  <w:num w:numId="31">
    <w:abstractNumId w:val="8"/>
  </w:num>
  <w:num w:numId="32">
    <w:abstractNumId w:val="45"/>
  </w:num>
  <w:num w:numId="33">
    <w:abstractNumId w:val="14"/>
  </w:num>
  <w:num w:numId="34">
    <w:abstractNumId w:val="25"/>
  </w:num>
  <w:num w:numId="35">
    <w:abstractNumId w:val="11"/>
  </w:num>
  <w:num w:numId="36">
    <w:abstractNumId w:val="18"/>
  </w:num>
  <w:num w:numId="37">
    <w:abstractNumId w:val="4"/>
  </w:num>
  <w:num w:numId="38">
    <w:abstractNumId w:val="1"/>
  </w:num>
  <w:num w:numId="39">
    <w:abstractNumId w:val="31"/>
  </w:num>
  <w:num w:numId="40">
    <w:abstractNumId w:val="40"/>
  </w:num>
  <w:num w:numId="41">
    <w:abstractNumId w:val="12"/>
  </w:num>
  <w:num w:numId="42">
    <w:abstractNumId w:val="3"/>
  </w:num>
  <w:num w:numId="43">
    <w:abstractNumId w:val="34"/>
  </w:num>
  <w:num w:numId="44">
    <w:abstractNumId w:val="37"/>
  </w:num>
  <w:num w:numId="45">
    <w:abstractNumId w:val="27"/>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MDA0NzAwtzQ0MrZU0lEKTi0uzszPAykwqQUA2FnF5ywAAAA="/>
  </w:docVars>
  <w:rsids>
    <w:rsidRoot w:val="00FD3406"/>
    <w:rsid w:val="0000169A"/>
    <w:rsid w:val="00012304"/>
    <w:rsid w:val="000211F1"/>
    <w:rsid w:val="00041F9E"/>
    <w:rsid w:val="00044FA3"/>
    <w:rsid w:val="00052B40"/>
    <w:rsid w:val="00063A1E"/>
    <w:rsid w:val="00066D0E"/>
    <w:rsid w:val="000841F2"/>
    <w:rsid w:val="000A0E0A"/>
    <w:rsid w:val="000B6D66"/>
    <w:rsid w:val="000D5CF1"/>
    <w:rsid w:val="000E3BD1"/>
    <w:rsid w:val="000E59DD"/>
    <w:rsid w:val="000E68A7"/>
    <w:rsid w:val="000F3026"/>
    <w:rsid w:val="0010135C"/>
    <w:rsid w:val="001021CF"/>
    <w:rsid w:val="0010714A"/>
    <w:rsid w:val="001105EB"/>
    <w:rsid w:val="001139E2"/>
    <w:rsid w:val="001327B3"/>
    <w:rsid w:val="00141B2F"/>
    <w:rsid w:val="001450BE"/>
    <w:rsid w:val="00145F43"/>
    <w:rsid w:val="00166BDD"/>
    <w:rsid w:val="001678D0"/>
    <w:rsid w:val="00173B7B"/>
    <w:rsid w:val="00175EA7"/>
    <w:rsid w:val="00176200"/>
    <w:rsid w:val="001849AC"/>
    <w:rsid w:val="001B5318"/>
    <w:rsid w:val="001B5D27"/>
    <w:rsid w:val="001D124B"/>
    <w:rsid w:val="001D7DA9"/>
    <w:rsid w:val="001E4CF3"/>
    <w:rsid w:val="001E585E"/>
    <w:rsid w:val="001F0917"/>
    <w:rsid w:val="001F1DA8"/>
    <w:rsid w:val="001F50A3"/>
    <w:rsid w:val="001F642C"/>
    <w:rsid w:val="00203308"/>
    <w:rsid w:val="00211549"/>
    <w:rsid w:val="00212541"/>
    <w:rsid w:val="002176C0"/>
    <w:rsid w:val="00223D24"/>
    <w:rsid w:val="0022461E"/>
    <w:rsid w:val="002273CA"/>
    <w:rsid w:val="0023377A"/>
    <w:rsid w:val="00243A2F"/>
    <w:rsid w:val="00244A36"/>
    <w:rsid w:val="00246950"/>
    <w:rsid w:val="002527F3"/>
    <w:rsid w:val="00267A09"/>
    <w:rsid w:val="00270CC8"/>
    <w:rsid w:val="00274C30"/>
    <w:rsid w:val="00277A26"/>
    <w:rsid w:val="00282C28"/>
    <w:rsid w:val="00284846"/>
    <w:rsid w:val="002A0711"/>
    <w:rsid w:val="002A661A"/>
    <w:rsid w:val="002A7A7F"/>
    <w:rsid w:val="002B1CF9"/>
    <w:rsid w:val="002B5139"/>
    <w:rsid w:val="002C0884"/>
    <w:rsid w:val="002D0262"/>
    <w:rsid w:val="002F29A6"/>
    <w:rsid w:val="002F31FF"/>
    <w:rsid w:val="00300DAB"/>
    <w:rsid w:val="0030736E"/>
    <w:rsid w:val="0032086E"/>
    <w:rsid w:val="003230C4"/>
    <w:rsid w:val="00330675"/>
    <w:rsid w:val="00332D39"/>
    <w:rsid w:val="003359E8"/>
    <w:rsid w:val="003562D1"/>
    <w:rsid w:val="00360AE9"/>
    <w:rsid w:val="00371706"/>
    <w:rsid w:val="00372809"/>
    <w:rsid w:val="003843D8"/>
    <w:rsid w:val="00393C31"/>
    <w:rsid w:val="003C13EF"/>
    <w:rsid w:val="003C5CDD"/>
    <w:rsid w:val="003E3273"/>
    <w:rsid w:val="003E4952"/>
    <w:rsid w:val="003E6A6B"/>
    <w:rsid w:val="004201A1"/>
    <w:rsid w:val="004218B6"/>
    <w:rsid w:val="00424B73"/>
    <w:rsid w:val="00430C37"/>
    <w:rsid w:val="00433674"/>
    <w:rsid w:val="00434FA4"/>
    <w:rsid w:val="00436D6B"/>
    <w:rsid w:val="00443764"/>
    <w:rsid w:val="00460AFC"/>
    <w:rsid w:val="004661B1"/>
    <w:rsid w:val="00474740"/>
    <w:rsid w:val="004750E0"/>
    <w:rsid w:val="0047711C"/>
    <w:rsid w:val="004B16B9"/>
    <w:rsid w:val="004B1CBB"/>
    <w:rsid w:val="004B3462"/>
    <w:rsid w:val="004B54BE"/>
    <w:rsid w:val="004B5965"/>
    <w:rsid w:val="004B6F1B"/>
    <w:rsid w:val="004B715A"/>
    <w:rsid w:val="004F53F1"/>
    <w:rsid w:val="004F7387"/>
    <w:rsid w:val="00501BF1"/>
    <w:rsid w:val="00503415"/>
    <w:rsid w:val="00507006"/>
    <w:rsid w:val="00507229"/>
    <w:rsid w:val="00507ADA"/>
    <w:rsid w:val="005122BF"/>
    <w:rsid w:val="00526656"/>
    <w:rsid w:val="0054098F"/>
    <w:rsid w:val="00541A5C"/>
    <w:rsid w:val="005424D9"/>
    <w:rsid w:val="005678C9"/>
    <w:rsid w:val="00571F3E"/>
    <w:rsid w:val="00575AD7"/>
    <w:rsid w:val="00575F1B"/>
    <w:rsid w:val="00582289"/>
    <w:rsid w:val="0058353B"/>
    <w:rsid w:val="00596B3E"/>
    <w:rsid w:val="005A08EF"/>
    <w:rsid w:val="005A5B32"/>
    <w:rsid w:val="005B5501"/>
    <w:rsid w:val="005B69DC"/>
    <w:rsid w:val="005C6235"/>
    <w:rsid w:val="005D4A58"/>
    <w:rsid w:val="005D74A1"/>
    <w:rsid w:val="005E1430"/>
    <w:rsid w:val="005E2055"/>
    <w:rsid w:val="00606467"/>
    <w:rsid w:val="006265E0"/>
    <w:rsid w:val="006273A7"/>
    <w:rsid w:val="006320C1"/>
    <w:rsid w:val="006324BF"/>
    <w:rsid w:val="00636D58"/>
    <w:rsid w:val="00644858"/>
    <w:rsid w:val="00657720"/>
    <w:rsid w:val="006671AE"/>
    <w:rsid w:val="0068399C"/>
    <w:rsid w:val="006A2AAF"/>
    <w:rsid w:val="006C43CF"/>
    <w:rsid w:val="006D403C"/>
    <w:rsid w:val="006D6BC4"/>
    <w:rsid w:val="006D7C73"/>
    <w:rsid w:val="006E0E42"/>
    <w:rsid w:val="006E64CE"/>
    <w:rsid w:val="006F206F"/>
    <w:rsid w:val="006F722D"/>
    <w:rsid w:val="007047D2"/>
    <w:rsid w:val="00707365"/>
    <w:rsid w:val="00717411"/>
    <w:rsid w:val="00724E68"/>
    <w:rsid w:val="007436FE"/>
    <w:rsid w:val="007511B7"/>
    <w:rsid w:val="00751968"/>
    <w:rsid w:val="007535D9"/>
    <w:rsid w:val="0075611D"/>
    <w:rsid w:val="0075748E"/>
    <w:rsid w:val="00763C4F"/>
    <w:rsid w:val="00764551"/>
    <w:rsid w:val="007719CC"/>
    <w:rsid w:val="00772159"/>
    <w:rsid w:val="00775178"/>
    <w:rsid w:val="00790D9B"/>
    <w:rsid w:val="00794DF8"/>
    <w:rsid w:val="00797926"/>
    <w:rsid w:val="007B302E"/>
    <w:rsid w:val="007B3130"/>
    <w:rsid w:val="007B5A97"/>
    <w:rsid w:val="007B675A"/>
    <w:rsid w:val="007C0136"/>
    <w:rsid w:val="007E01AA"/>
    <w:rsid w:val="007E0ECE"/>
    <w:rsid w:val="00813E62"/>
    <w:rsid w:val="008236E5"/>
    <w:rsid w:val="00827D29"/>
    <w:rsid w:val="0083770C"/>
    <w:rsid w:val="00857AE4"/>
    <w:rsid w:val="00860F59"/>
    <w:rsid w:val="00861BE3"/>
    <w:rsid w:val="00864F04"/>
    <w:rsid w:val="00880506"/>
    <w:rsid w:val="008818A5"/>
    <w:rsid w:val="008837CA"/>
    <w:rsid w:val="00897573"/>
    <w:rsid w:val="008B570F"/>
    <w:rsid w:val="008C1029"/>
    <w:rsid w:val="008C2642"/>
    <w:rsid w:val="008D18F1"/>
    <w:rsid w:val="008D4815"/>
    <w:rsid w:val="008D672D"/>
    <w:rsid w:val="008E3552"/>
    <w:rsid w:val="008E3CDC"/>
    <w:rsid w:val="008E67CF"/>
    <w:rsid w:val="008E6F79"/>
    <w:rsid w:val="008F0697"/>
    <w:rsid w:val="008F0FA4"/>
    <w:rsid w:val="008F22F0"/>
    <w:rsid w:val="008F43D0"/>
    <w:rsid w:val="008F5FDA"/>
    <w:rsid w:val="0090795E"/>
    <w:rsid w:val="00912E88"/>
    <w:rsid w:val="0091632F"/>
    <w:rsid w:val="00916410"/>
    <w:rsid w:val="00925862"/>
    <w:rsid w:val="00926CED"/>
    <w:rsid w:val="0093301C"/>
    <w:rsid w:val="00933068"/>
    <w:rsid w:val="00957737"/>
    <w:rsid w:val="00965714"/>
    <w:rsid w:val="00973F9B"/>
    <w:rsid w:val="009740EA"/>
    <w:rsid w:val="00983DF8"/>
    <w:rsid w:val="009C6D05"/>
    <w:rsid w:val="009C7BB9"/>
    <w:rsid w:val="009E2F20"/>
    <w:rsid w:val="00A01E7E"/>
    <w:rsid w:val="00A122B5"/>
    <w:rsid w:val="00A14B93"/>
    <w:rsid w:val="00A15935"/>
    <w:rsid w:val="00A1593B"/>
    <w:rsid w:val="00A178EE"/>
    <w:rsid w:val="00A23A8A"/>
    <w:rsid w:val="00A33506"/>
    <w:rsid w:val="00A46D9C"/>
    <w:rsid w:val="00A51C8B"/>
    <w:rsid w:val="00A600C5"/>
    <w:rsid w:val="00A661B3"/>
    <w:rsid w:val="00A66843"/>
    <w:rsid w:val="00A77E43"/>
    <w:rsid w:val="00A81D12"/>
    <w:rsid w:val="00A84338"/>
    <w:rsid w:val="00A92FEC"/>
    <w:rsid w:val="00A93761"/>
    <w:rsid w:val="00A95447"/>
    <w:rsid w:val="00AA568A"/>
    <w:rsid w:val="00AB0B6B"/>
    <w:rsid w:val="00AB5AF2"/>
    <w:rsid w:val="00AB7A43"/>
    <w:rsid w:val="00AC5E76"/>
    <w:rsid w:val="00AD63B2"/>
    <w:rsid w:val="00AF7BEC"/>
    <w:rsid w:val="00B00A40"/>
    <w:rsid w:val="00B1058E"/>
    <w:rsid w:val="00B13547"/>
    <w:rsid w:val="00B1419B"/>
    <w:rsid w:val="00B16318"/>
    <w:rsid w:val="00B25B4B"/>
    <w:rsid w:val="00B26EB9"/>
    <w:rsid w:val="00B34F19"/>
    <w:rsid w:val="00B45DB7"/>
    <w:rsid w:val="00B54C2D"/>
    <w:rsid w:val="00B55594"/>
    <w:rsid w:val="00B57B99"/>
    <w:rsid w:val="00B709C0"/>
    <w:rsid w:val="00B80CD9"/>
    <w:rsid w:val="00B931ED"/>
    <w:rsid w:val="00BB7CF0"/>
    <w:rsid w:val="00BC07D0"/>
    <w:rsid w:val="00BC27FB"/>
    <w:rsid w:val="00BC2D72"/>
    <w:rsid w:val="00BC4ACB"/>
    <w:rsid w:val="00BC576F"/>
    <w:rsid w:val="00BC5E06"/>
    <w:rsid w:val="00BD5CA7"/>
    <w:rsid w:val="00C00F7F"/>
    <w:rsid w:val="00C02ACF"/>
    <w:rsid w:val="00C02DAA"/>
    <w:rsid w:val="00C0469F"/>
    <w:rsid w:val="00C26D4A"/>
    <w:rsid w:val="00C310F1"/>
    <w:rsid w:val="00C326D2"/>
    <w:rsid w:val="00C518A3"/>
    <w:rsid w:val="00C52C85"/>
    <w:rsid w:val="00C609A0"/>
    <w:rsid w:val="00C63BCB"/>
    <w:rsid w:val="00C67D7A"/>
    <w:rsid w:val="00C70A05"/>
    <w:rsid w:val="00C769F5"/>
    <w:rsid w:val="00C818B7"/>
    <w:rsid w:val="00C8263B"/>
    <w:rsid w:val="00C84C11"/>
    <w:rsid w:val="00CC0BBC"/>
    <w:rsid w:val="00CC1267"/>
    <w:rsid w:val="00CC6DEE"/>
    <w:rsid w:val="00CD136B"/>
    <w:rsid w:val="00CD192B"/>
    <w:rsid w:val="00CD3ED7"/>
    <w:rsid w:val="00CD4FE2"/>
    <w:rsid w:val="00CD5CD0"/>
    <w:rsid w:val="00CE41AA"/>
    <w:rsid w:val="00CE5528"/>
    <w:rsid w:val="00CF086C"/>
    <w:rsid w:val="00CF5A39"/>
    <w:rsid w:val="00D27151"/>
    <w:rsid w:val="00D3087C"/>
    <w:rsid w:val="00D37925"/>
    <w:rsid w:val="00D44500"/>
    <w:rsid w:val="00D52FD4"/>
    <w:rsid w:val="00D56E0D"/>
    <w:rsid w:val="00D60C63"/>
    <w:rsid w:val="00D66F66"/>
    <w:rsid w:val="00D70A45"/>
    <w:rsid w:val="00D73691"/>
    <w:rsid w:val="00D763F4"/>
    <w:rsid w:val="00D86E9F"/>
    <w:rsid w:val="00DA2948"/>
    <w:rsid w:val="00DA5FFC"/>
    <w:rsid w:val="00DC5604"/>
    <w:rsid w:val="00DD4F01"/>
    <w:rsid w:val="00DE24C0"/>
    <w:rsid w:val="00DE367A"/>
    <w:rsid w:val="00DE5254"/>
    <w:rsid w:val="00DF17FD"/>
    <w:rsid w:val="00DF1E39"/>
    <w:rsid w:val="00DF2772"/>
    <w:rsid w:val="00E01697"/>
    <w:rsid w:val="00E055E6"/>
    <w:rsid w:val="00E065C9"/>
    <w:rsid w:val="00E07ABA"/>
    <w:rsid w:val="00E3207E"/>
    <w:rsid w:val="00E34579"/>
    <w:rsid w:val="00E371E4"/>
    <w:rsid w:val="00E41E19"/>
    <w:rsid w:val="00E44534"/>
    <w:rsid w:val="00E44CED"/>
    <w:rsid w:val="00E54A89"/>
    <w:rsid w:val="00E83FEF"/>
    <w:rsid w:val="00E84AFA"/>
    <w:rsid w:val="00E909BB"/>
    <w:rsid w:val="00E911C2"/>
    <w:rsid w:val="00E91EF0"/>
    <w:rsid w:val="00E9551A"/>
    <w:rsid w:val="00EB2F5A"/>
    <w:rsid w:val="00EB4DB3"/>
    <w:rsid w:val="00EB61E5"/>
    <w:rsid w:val="00EC3FC3"/>
    <w:rsid w:val="00ED13A8"/>
    <w:rsid w:val="00ED3446"/>
    <w:rsid w:val="00EF19EE"/>
    <w:rsid w:val="00F043BD"/>
    <w:rsid w:val="00F20BFC"/>
    <w:rsid w:val="00F33919"/>
    <w:rsid w:val="00F4116E"/>
    <w:rsid w:val="00F45970"/>
    <w:rsid w:val="00F51BE2"/>
    <w:rsid w:val="00F533FE"/>
    <w:rsid w:val="00F57BBA"/>
    <w:rsid w:val="00F70BB7"/>
    <w:rsid w:val="00F71D1B"/>
    <w:rsid w:val="00F747B3"/>
    <w:rsid w:val="00FA1113"/>
    <w:rsid w:val="00FA6249"/>
    <w:rsid w:val="00FC1482"/>
    <w:rsid w:val="00FD2063"/>
    <w:rsid w:val="00FD3406"/>
    <w:rsid w:val="00FD4F25"/>
    <w:rsid w:val="00FF69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92A8"/>
  <w15:chartTrackingRefBased/>
  <w15:docId w15:val="{27F563A5-FAF9-4A8E-9902-2353BD46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9B"/>
  </w:style>
  <w:style w:type="paragraph" w:styleId="Heading1">
    <w:name w:val="heading 1"/>
    <w:basedOn w:val="Normal"/>
    <w:next w:val="Normal"/>
    <w:link w:val="Heading1Char"/>
    <w:uiPriority w:val="9"/>
    <w:qFormat/>
    <w:rsid w:val="005E14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14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14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D3406"/>
    <w:rPr>
      <w:smallCaps/>
      <w:color w:val="5A5A5A" w:themeColor="text1" w:themeTint="A5"/>
    </w:rPr>
  </w:style>
  <w:style w:type="paragraph" w:styleId="Title">
    <w:name w:val="Title"/>
    <w:basedOn w:val="Normal"/>
    <w:next w:val="Normal"/>
    <w:link w:val="TitleChar"/>
    <w:uiPriority w:val="10"/>
    <w:qFormat/>
    <w:rsid w:val="00FD34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40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D3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406"/>
  </w:style>
  <w:style w:type="paragraph" w:styleId="Footer">
    <w:name w:val="footer"/>
    <w:basedOn w:val="Normal"/>
    <w:link w:val="FooterChar"/>
    <w:uiPriority w:val="99"/>
    <w:unhideWhenUsed/>
    <w:rsid w:val="00FD3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406"/>
  </w:style>
  <w:style w:type="character" w:customStyle="1" w:styleId="Heading2Char">
    <w:name w:val="Heading 2 Char"/>
    <w:basedOn w:val="DefaultParagraphFont"/>
    <w:link w:val="Heading2"/>
    <w:uiPriority w:val="9"/>
    <w:rsid w:val="005E143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E1430"/>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5E14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1430"/>
    <w:rPr>
      <w:rFonts w:eastAsiaTheme="minorEastAsia"/>
      <w:color w:val="5A5A5A" w:themeColor="text1" w:themeTint="A5"/>
      <w:spacing w:val="15"/>
    </w:rPr>
  </w:style>
  <w:style w:type="paragraph" w:styleId="ListParagraph">
    <w:name w:val="List Paragraph"/>
    <w:basedOn w:val="Normal"/>
    <w:uiPriority w:val="34"/>
    <w:qFormat/>
    <w:rsid w:val="005E1430"/>
    <w:pPr>
      <w:ind w:left="720"/>
      <w:contextualSpacing/>
    </w:pPr>
  </w:style>
  <w:style w:type="character" w:styleId="SubtleEmphasis">
    <w:name w:val="Subtle Emphasis"/>
    <w:basedOn w:val="DefaultParagraphFont"/>
    <w:uiPriority w:val="19"/>
    <w:qFormat/>
    <w:rsid w:val="005E1430"/>
    <w:rPr>
      <w:i/>
      <w:iCs/>
      <w:color w:val="404040" w:themeColor="text1" w:themeTint="BF"/>
    </w:rPr>
  </w:style>
  <w:style w:type="character" w:styleId="Emphasis">
    <w:name w:val="Emphasis"/>
    <w:basedOn w:val="DefaultParagraphFont"/>
    <w:uiPriority w:val="20"/>
    <w:qFormat/>
    <w:rsid w:val="005E1430"/>
    <w:rPr>
      <w:i/>
      <w:iCs/>
    </w:rPr>
  </w:style>
  <w:style w:type="character" w:customStyle="1" w:styleId="Heading3Char">
    <w:name w:val="Heading 3 Char"/>
    <w:basedOn w:val="DefaultParagraphFont"/>
    <w:link w:val="Heading3"/>
    <w:uiPriority w:val="9"/>
    <w:rsid w:val="005E1430"/>
    <w:rPr>
      <w:rFonts w:asciiTheme="majorHAnsi" w:eastAsiaTheme="majorEastAsia" w:hAnsiTheme="majorHAnsi" w:cstheme="majorBidi"/>
      <w:color w:val="1F3763" w:themeColor="accent1" w:themeShade="7F"/>
      <w:sz w:val="24"/>
      <w:szCs w:val="24"/>
    </w:rPr>
  </w:style>
  <w:style w:type="character" w:styleId="IntenseEmphasis">
    <w:name w:val="Intense Emphasis"/>
    <w:basedOn w:val="DefaultParagraphFont"/>
    <w:uiPriority w:val="21"/>
    <w:qFormat/>
    <w:rsid w:val="005E1430"/>
    <w:rPr>
      <w:i/>
      <w:iCs/>
      <w:color w:val="4472C4" w:themeColor="accent1"/>
    </w:rPr>
  </w:style>
  <w:style w:type="character" w:styleId="IntenseReference">
    <w:name w:val="Intense Reference"/>
    <w:basedOn w:val="DefaultParagraphFont"/>
    <w:uiPriority w:val="32"/>
    <w:qFormat/>
    <w:rsid w:val="001E4CF3"/>
    <w:rPr>
      <w:b/>
      <w:bCs/>
      <w:smallCaps/>
      <w:color w:val="4472C4" w:themeColor="accent1"/>
      <w:spacing w:val="5"/>
    </w:rPr>
  </w:style>
  <w:style w:type="character" w:styleId="CommentReference">
    <w:name w:val="annotation reference"/>
    <w:basedOn w:val="DefaultParagraphFont"/>
    <w:uiPriority w:val="99"/>
    <w:semiHidden/>
    <w:unhideWhenUsed/>
    <w:rsid w:val="00FD2063"/>
    <w:rPr>
      <w:sz w:val="16"/>
      <w:szCs w:val="16"/>
    </w:rPr>
  </w:style>
  <w:style w:type="paragraph" w:styleId="CommentText">
    <w:name w:val="annotation text"/>
    <w:basedOn w:val="Normal"/>
    <w:link w:val="CommentTextChar"/>
    <w:uiPriority w:val="99"/>
    <w:unhideWhenUsed/>
    <w:rsid w:val="00FD2063"/>
    <w:pPr>
      <w:spacing w:line="240" w:lineRule="auto"/>
    </w:pPr>
    <w:rPr>
      <w:sz w:val="20"/>
      <w:szCs w:val="20"/>
    </w:rPr>
  </w:style>
  <w:style w:type="character" w:customStyle="1" w:styleId="CommentTextChar">
    <w:name w:val="Comment Text Char"/>
    <w:basedOn w:val="DefaultParagraphFont"/>
    <w:link w:val="CommentText"/>
    <w:uiPriority w:val="99"/>
    <w:rsid w:val="00FD2063"/>
    <w:rPr>
      <w:sz w:val="20"/>
      <w:szCs w:val="20"/>
    </w:rPr>
  </w:style>
  <w:style w:type="paragraph" w:styleId="CommentSubject">
    <w:name w:val="annotation subject"/>
    <w:basedOn w:val="CommentText"/>
    <w:next w:val="CommentText"/>
    <w:link w:val="CommentSubjectChar"/>
    <w:uiPriority w:val="99"/>
    <w:semiHidden/>
    <w:unhideWhenUsed/>
    <w:rsid w:val="00FD2063"/>
    <w:rPr>
      <w:b/>
      <w:bCs/>
    </w:rPr>
  </w:style>
  <w:style w:type="character" w:customStyle="1" w:styleId="CommentSubjectChar">
    <w:name w:val="Comment Subject Char"/>
    <w:basedOn w:val="CommentTextChar"/>
    <w:link w:val="CommentSubject"/>
    <w:uiPriority w:val="99"/>
    <w:semiHidden/>
    <w:rsid w:val="00FD2063"/>
    <w:rPr>
      <w:b/>
      <w:bCs/>
      <w:sz w:val="20"/>
      <w:szCs w:val="20"/>
    </w:rPr>
  </w:style>
  <w:style w:type="paragraph" w:customStyle="1" w:styleId="pf0">
    <w:name w:val="pf0"/>
    <w:basedOn w:val="Normal"/>
    <w:rsid w:val="009330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93301C"/>
    <w:rPr>
      <w:rFonts w:ascii="Segoe UI" w:hAnsi="Segoe UI" w:cs="Segoe UI" w:hint="default"/>
      <w:sz w:val="18"/>
      <w:szCs w:val="18"/>
    </w:rPr>
  </w:style>
  <w:style w:type="table" w:styleId="TableGrid">
    <w:name w:val="Table Grid"/>
    <w:basedOn w:val="TableNormal"/>
    <w:uiPriority w:val="39"/>
    <w:rsid w:val="00D66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410"/>
    <w:rPr>
      <w:color w:val="0563C1" w:themeColor="hyperlink"/>
      <w:u w:val="single"/>
    </w:rPr>
  </w:style>
  <w:style w:type="character" w:styleId="UnresolvedMention">
    <w:name w:val="Unresolved Mention"/>
    <w:basedOn w:val="DefaultParagraphFont"/>
    <w:uiPriority w:val="99"/>
    <w:semiHidden/>
    <w:unhideWhenUsed/>
    <w:rsid w:val="00916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04281">
      <w:bodyDiv w:val="1"/>
      <w:marLeft w:val="0"/>
      <w:marRight w:val="0"/>
      <w:marTop w:val="0"/>
      <w:marBottom w:val="0"/>
      <w:divBdr>
        <w:top w:val="none" w:sz="0" w:space="0" w:color="auto"/>
        <w:left w:val="none" w:sz="0" w:space="0" w:color="auto"/>
        <w:bottom w:val="none" w:sz="0" w:space="0" w:color="auto"/>
        <w:right w:val="none" w:sz="0" w:space="0" w:color="auto"/>
      </w:divBdr>
    </w:div>
    <w:div w:id="859510525">
      <w:bodyDiv w:val="1"/>
      <w:marLeft w:val="0"/>
      <w:marRight w:val="0"/>
      <w:marTop w:val="0"/>
      <w:marBottom w:val="0"/>
      <w:divBdr>
        <w:top w:val="none" w:sz="0" w:space="0" w:color="auto"/>
        <w:left w:val="none" w:sz="0" w:space="0" w:color="auto"/>
        <w:bottom w:val="none" w:sz="0" w:space="0" w:color="auto"/>
        <w:right w:val="none" w:sz="0" w:space="0" w:color="auto"/>
      </w:divBdr>
    </w:div>
    <w:div w:id="1250967275">
      <w:bodyDiv w:val="1"/>
      <w:marLeft w:val="0"/>
      <w:marRight w:val="0"/>
      <w:marTop w:val="0"/>
      <w:marBottom w:val="0"/>
      <w:divBdr>
        <w:top w:val="none" w:sz="0" w:space="0" w:color="auto"/>
        <w:left w:val="none" w:sz="0" w:space="0" w:color="auto"/>
        <w:bottom w:val="none" w:sz="0" w:space="0" w:color="auto"/>
        <w:right w:val="none" w:sz="0" w:space="0" w:color="auto"/>
      </w:divBdr>
    </w:div>
    <w:div w:id="1474256561">
      <w:bodyDiv w:val="1"/>
      <w:marLeft w:val="0"/>
      <w:marRight w:val="0"/>
      <w:marTop w:val="0"/>
      <w:marBottom w:val="0"/>
      <w:divBdr>
        <w:top w:val="none" w:sz="0" w:space="0" w:color="auto"/>
        <w:left w:val="none" w:sz="0" w:space="0" w:color="auto"/>
        <w:bottom w:val="none" w:sz="0" w:space="0" w:color="auto"/>
        <w:right w:val="none" w:sz="0" w:space="0" w:color="auto"/>
      </w:divBdr>
    </w:div>
    <w:div w:id="1544252017">
      <w:bodyDiv w:val="1"/>
      <w:marLeft w:val="0"/>
      <w:marRight w:val="0"/>
      <w:marTop w:val="0"/>
      <w:marBottom w:val="0"/>
      <w:divBdr>
        <w:top w:val="none" w:sz="0" w:space="0" w:color="auto"/>
        <w:left w:val="none" w:sz="0" w:space="0" w:color="auto"/>
        <w:bottom w:val="none" w:sz="0" w:space="0" w:color="auto"/>
        <w:right w:val="none" w:sz="0" w:space="0" w:color="auto"/>
      </w:divBdr>
    </w:div>
    <w:div w:id="2091199651">
      <w:bodyDiv w:val="1"/>
      <w:marLeft w:val="0"/>
      <w:marRight w:val="0"/>
      <w:marTop w:val="0"/>
      <w:marBottom w:val="0"/>
      <w:divBdr>
        <w:top w:val="none" w:sz="0" w:space="0" w:color="auto"/>
        <w:left w:val="none" w:sz="0" w:space="0" w:color="auto"/>
        <w:bottom w:val="none" w:sz="0" w:space="0" w:color="auto"/>
        <w:right w:val="none" w:sz="0" w:space="0" w:color="auto"/>
      </w:divBdr>
    </w:div>
    <w:div w:id="210745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bosa@clintonhealthacces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693A8-FA31-477E-8134-9C1184C5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Bbosa</dc:creator>
  <cp:keywords/>
  <dc:description/>
  <cp:lastModifiedBy>Frederic Seghers</cp:lastModifiedBy>
  <cp:revision>3</cp:revision>
  <dcterms:created xsi:type="dcterms:W3CDTF">2021-09-14T06:22:00Z</dcterms:created>
  <dcterms:modified xsi:type="dcterms:W3CDTF">2021-09-27T09:39:00Z</dcterms:modified>
</cp:coreProperties>
</file>